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201F90">
      <w:pPr>
        <w:jc w:val="center"/>
        <w:outlineLvl w:val="1"/>
        <w:rPr>
          <w:rFonts w:ascii="Times New Roman" w:hAnsi="Times New Roman"/>
          <w:bCs/>
          <w:color w:val="auto"/>
          <w:sz w:val="32"/>
          <w:szCs w:val="24"/>
          <w:highlight w:val="none"/>
        </w:rPr>
      </w:pPr>
      <w:bookmarkStart w:id="0" w:name="_Toc121734439"/>
      <w:bookmarkStart w:id="1" w:name="_Hlk122288579"/>
      <w:bookmarkStart w:id="2" w:name="_Toc15143"/>
      <w:bookmarkStart w:id="3" w:name="_Toc27695"/>
      <w:bookmarkStart w:id="4" w:name="_Toc530752895"/>
      <w:bookmarkStart w:id="5" w:name="_Toc395286772"/>
      <w:bookmarkStart w:id="6" w:name="_Toc27283"/>
      <w:bookmarkStart w:id="7" w:name="_Toc6982"/>
      <w:bookmarkStart w:id="8" w:name="_Toc286669457"/>
      <w:bookmarkStart w:id="9" w:name="_Toc26909"/>
      <w:bookmarkStart w:id="10" w:name="_Toc24797"/>
      <w:bookmarkStart w:id="11" w:name="_Toc30243"/>
      <w:bookmarkStart w:id="12" w:name="_Toc18739"/>
      <w:bookmarkStart w:id="13" w:name="_Toc29618"/>
      <w:bookmarkStart w:id="14" w:name="_Toc286669449"/>
      <w:bookmarkStart w:id="15" w:name="_Toc26548365"/>
      <w:bookmarkStart w:id="16" w:name="_Toc24975183"/>
      <w:bookmarkStart w:id="17" w:name="_Toc4060"/>
      <w:bookmarkStart w:id="18" w:name="_Toc524639635"/>
      <w:bookmarkStart w:id="19" w:name="_Toc286672141"/>
      <w:bookmarkStart w:id="20" w:name="_Toc335397765"/>
      <w:bookmarkStart w:id="21" w:name="_Toc337717041"/>
      <w:bookmarkStart w:id="22" w:name="_Toc434256179"/>
      <w:bookmarkStart w:id="23" w:name="_Toc10017"/>
      <w:bookmarkStart w:id="24" w:name="_Toc211484057"/>
      <w:bookmarkStart w:id="25" w:name="_Toc31279"/>
      <w:bookmarkStart w:id="26" w:name="_Toc286672148"/>
      <w:bookmarkStart w:id="27" w:name="_Toc532551487"/>
      <w:r>
        <w:rPr>
          <w:rFonts w:ascii="Times New Roman" w:hAnsi="Times New Roman"/>
          <w:bCs/>
          <w:color w:val="auto"/>
          <w:sz w:val="32"/>
          <w:szCs w:val="24"/>
          <w:highlight w:val="none"/>
        </w:rPr>
        <w:t>（五）国家高新区企业及区外高新技术企业统计年报表</w:t>
      </w:r>
      <w:bookmarkEnd w:id="0"/>
    </w:p>
    <w:p w14:paraId="7BEB052C">
      <w:pPr>
        <w:pStyle w:val="4"/>
        <w:rPr>
          <w:rFonts w:ascii="Times New Roman" w:hAnsi="Times New Roman"/>
          <w:bCs w:val="0"/>
          <w:color w:val="auto"/>
          <w:sz w:val="28"/>
          <w:szCs w:val="28"/>
          <w:highlight w:val="none"/>
        </w:rPr>
      </w:pPr>
      <w:bookmarkStart w:id="28" w:name="_Toc121734440"/>
      <w:r>
        <w:rPr>
          <w:rFonts w:ascii="Times New Roman" w:hAnsi="Times New Roman"/>
          <w:bCs w:val="0"/>
          <w:color w:val="auto"/>
          <w:sz w:val="28"/>
          <w:szCs w:val="28"/>
          <w:highlight w:val="none"/>
        </w:rPr>
        <w:t>企业</w:t>
      </w:r>
      <w:bookmarkStart w:id="37" w:name="_GoBack"/>
      <w:bookmarkEnd w:id="37"/>
      <w:r>
        <w:rPr>
          <w:rFonts w:ascii="Times New Roman" w:hAnsi="Times New Roman"/>
          <w:bCs w:val="0"/>
          <w:color w:val="auto"/>
          <w:sz w:val="28"/>
          <w:szCs w:val="28"/>
          <w:highlight w:val="none"/>
        </w:rPr>
        <w:t>概况</w:t>
      </w:r>
      <w:bookmarkEnd w:id="28"/>
    </w:p>
    <w:tbl>
      <w:tblPr>
        <w:tblStyle w:val="34"/>
        <w:tblW w:w="9821"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881"/>
        <w:gridCol w:w="2610"/>
        <w:gridCol w:w="3315"/>
        <w:gridCol w:w="1050"/>
        <w:gridCol w:w="1965"/>
      </w:tblGrid>
      <w:tr w14:paraId="5EFD664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3" w:hRule="atLeast"/>
          <w:jc w:val="center"/>
        </w:trPr>
        <w:tc>
          <w:tcPr>
            <w:tcW w:w="6806" w:type="dxa"/>
            <w:gridSpan w:val="3"/>
            <w:tcBorders>
              <w:top w:val="nil"/>
              <w:left w:val="nil"/>
              <w:bottom w:val="nil"/>
              <w:right w:val="nil"/>
            </w:tcBorders>
            <w:noWrap w:val="0"/>
            <w:vAlign w:val="center"/>
          </w:tcPr>
          <w:p w14:paraId="5150E3FE">
            <w:pPr>
              <w:snapToGrid w:val="0"/>
              <w:spacing w:line="220" w:lineRule="exact"/>
              <w:jc w:val="left"/>
              <w:rPr>
                <w:rFonts w:ascii="Times New Roman" w:hAnsi="Times New Roman"/>
                <w:bCs/>
                <w:color w:val="auto"/>
                <w:sz w:val="18"/>
                <w:szCs w:val="18"/>
                <w:highlight w:val="none"/>
              </w:rPr>
            </w:pPr>
          </w:p>
        </w:tc>
        <w:tc>
          <w:tcPr>
            <w:tcW w:w="1050" w:type="dxa"/>
            <w:tcBorders>
              <w:top w:val="nil"/>
              <w:left w:val="nil"/>
              <w:bottom w:val="nil"/>
              <w:right w:val="nil"/>
            </w:tcBorders>
            <w:noWrap w:val="0"/>
            <w:vAlign w:val="center"/>
          </w:tcPr>
          <w:p w14:paraId="36FD899A">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表号：</w:t>
            </w:r>
          </w:p>
        </w:tc>
        <w:tc>
          <w:tcPr>
            <w:tcW w:w="1965" w:type="dxa"/>
            <w:tcBorders>
              <w:top w:val="nil"/>
              <w:left w:val="nil"/>
              <w:bottom w:val="nil"/>
              <w:right w:val="nil"/>
            </w:tcBorders>
            <w:noWrap w:val="0"/>
            <w:vAlign w:val="center"/>
          </w:tcPr>
          <w:p w14:paraId="70122FCD">
            <w:pPr>
              <w:spacing w:line="240" w:lineRule="exact"/>
              <w:jc w:val="right"/>
              <w:rPr>
                <w:rFonts w:ascii="Times New Roman" w:hAnsi="Times New Roman"/>
                <w:bCs/>
                <w:color w:val="auto"/>
                <w:sz w:val="18"/>
                <w:szCs w:val="18"/>
                <w:highlight w:val="none"/>
              </w:rPr>
            </w:pPr>
            <w:r>
              <w:rPr>
                <w:rFonts w:ascii="Times New Roman" w:hAnsi="Times New Roman"/>
                <w:bCs/>
                <w:color w:val="auto"/>
                <w:sz w:val="18"/>
                <w:szCs w:val="18"/>
                <w:highlight w:val="none"/>
              </w:rPr>
              <w:t>ＧＱ－００１</w:t>
            </w:r>
            <w:r>
              <w:rPr>
                <w:rFonts w:ascii="Times New Roman" w:hAnsi="Times New Roman"/>
                <w:bCs/>
                <w:color w:val="auto"/>
                <w:sz w:val="18"/>
                <w:highlight w:val="none"/>
              </w:rPr>
              <w:t>表</w:t>
            </w:r>
          </w:p>
        </w:tc>
      </w:tr>
      <w:tr w14:paraId="0413535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3" w:hRule="atLeast"/>
          <w:jc w:val="center"/>
        </w:trPr>
        <w:tc>
          <w:tcPr>
            <w:tcW w:w="6806" w:type="dxa"/>
            <w:gridSpan w:val="3"/>
            <w:tcBorders>
              <w:top w:val="nil"/>
              <w:left w:val="nil"/>
              <w:bottom w:val="nil"/>
              <w:right w:val="nil"/>
            </w:tcBorders>
            <w:noWrap w:val="0"/>
            <w:vAlign w:val="center"/>
          </w:tcPr>
          <w:p w14:paraId="345F0EEA">
            <w:pPr>
              <w:snapToGrid w:val="0"/>
              <w:spacing w:line="220" w:lineRule="exact"/>
              <w:jc w:val="left"/>
              <w:rPr>
                <w:rFonts w:ascii="Times New Roman" w:hAnsi="Times New Roman"/>
                <w:bCs/>
                <w:color w:val="auto"/>
                <w:sz w:val="18"/>
                <w:szCs w:val="18"/>
                <w:highlight w:val="none"/>
              </w:rPr>
            </w:pPr>
          </w:p>
        </w:tc>
        <w:tc>
          <w:tcPr>
            <w:tcW w:w="1050" w:type="dxa"/>
            <w:tcBorders>
              <w:top w:val="nil"/>
              <w:left w:val="nil"/>
              <w:bottom w:val="nil"/>
              <w:right w:val="nil"/>
            </w:tcBorders>
            <w:noWrap w:val="0"/>
            <w:vAlign w:val="center"/>
          </w:tcPr>
          <w:p w14:paraId="6791B154">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制定机关：</w:t>
            </w:r>
          </w:p>
        </w:tc>
        <w:tc>
          <w:tcPr>
            <w:tcW w:w="1965" w:type="dxa"/>
            <w:tcBorders>
              <w:top w:val="nil"/>
              <w:left w:val="nil"/>
              <w:bottom w:val="nil"/>
              <w:right w:val="nil"/>
            </w:tcBorders>
            <w:noWrap w:val="0"/>
            <w:vAlign w:val="center"/>
          </w:tcPr>
          <w:p w14:paraId="3FB91A16">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highlight w:val="none"/>
                <w:lang w:val="en-US" w:eastAsia="zh-CN"/>
              </w:rPr>
              <w:t>工业和信息化</w:t>
            </w:r>
            <w:r>
              <w:rPr>
                <w:rFonts w:ascii="Times New Roman" w:hAnsi="Times New Roman"/>
                <w:bCs/>
                <w:color w:val="auto"/>
                <w:sz w:val="18"/>
                <w:highlight w:val="none"/>
              </w:rPr>
              <w:t>部</w:t>
            </w:r>
          </w:p>
        </w:tc>
      </w:tr>
      <w:tr w14:paraId="5EA1EDF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3" w:hRule="atLeast"/>
          <w:jc w:val="center"/>
        </w:trPr>
        <w:tc>
          <w:tcPr>
            <w:tcW w:w="6806" w:type="dxa"/>
            <w:gridSpan w:val="3"/>
            <w:tcBorders>
              <w:top w:val="nil"/>
              <w:left w:val="nil"/>
              <w:bottom w:val="nil"/>
              <w:right w:val="nil"/>
            </w:tcBorders>
            <w:noWrap w:val="0"/>
            <w:vAlign w:val="center"/>
          </w:tcPr>
          <w:p w14:paraId="65FAA8B6">
            <w:pPr>
              <w:snapToGrid w:val="0"/>
              <w:spacing w:line="220" w:lineRule="exact"/>
              <w:jc w:val="left"/>
              <w:rPr>
                <w:rFonts w:ascii="宋体" w:hAnsi="宋体"/>
                <w:bCs/>
                <w:color w:val="auto"/>
                <w:sz w:val="18"/>
                <w:szCs w:val="18"/>
                <w:highlight w:val="none"/>
              </w:rPr>
            </w:pPr>
          </w:p>
        </w:tc>
        <w:tc>
          <w:tcPr>
            <w:tcW w:w="1050" w:type="dxa"/>
            <w:tcBorders>
              <w:top w:val="nil"/>
              <w:left w:val="nil"/>
              <w:bottom w:val="nil"/>
              <w:right w:val="nil"/>
            </w:tcBorders>
            <w:noWrap w:val="0"/>
            <w:vAlign w:val="center"/>
          </w:tcPr>
          <w:p w14:paraId="62CE8CC8">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批准机关：</w:t>
            </w:r>
          </w:p>
        </w:tc>
        <w:tc>
          <w:tcPr>
            <w:tcW w:w="1965" w:type="dxa"/>
            <w:tcBorders>
              <w:top w:val="nil"/>
              <w:left w:val="nil"/>
              <w:bottom w:val="nil"/>
              <w:right w:val="nil"/>
            </w:tcBorders>
            <w:noWrap w:val="0"/>
            <w:vAlign w:val="center"/>
          </w:tcPr>
          <w:p w14:paraId="498753D9">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国家统计局</w:t>
            </w:r>
          </w:p>
        </w:tc>
      </w:tr>
      <w:tr w14:paraId="7D74EFBD">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3" w:hRule="atLeast"/>
          <w:jc w:val="center"/>
        </w:trPr>
        <w:tc>
          <w:tcPr>
            <w:tcW w:w="6806" w:type="dxa"/>
            <w:gridSpan w:val="3"/>
            <w:tcBorders>
              <w:top w:val="nil"/>
              <w:left w:val="nil"/>
              <w:bottom w:val="nil"/>
              <w:right w:val="nil"/>
            </w:tcBorders>
            <w:noWrap w:val="0"/>
            <w:vAlign w:val="center"/>
          </w:tcPr>
          <w:p w14:paraId="272C867E">
            <w:pPr>
              <w:snapToGrid w:val="0"/>
              <w:spacing w:line="220" w:lineRule="exact"/>
              <w:jc w:val="left"/>
              <w:rPr>
                <w:rFonts w:ascii="宋体" w:hAnsi="宋体"/>
                <w:bCs/>
                <w:color w:val="auto"/>
                <w:sz w:val="18"/>
                <w:szCs w:val="18"/>
                <w:highlight w:val="none"/>
              </w:rPr>
            </w:pPr>
            <w:r>
              <w:rPr>
                <w:rFonts w:ascii="宋体" w:hAnsi="宋体"/>
                <w:bCs/>
                <w:color w:val="auto"/>
                <w:sz w:val="18"/>
                <w:szCs w:val="18"/>
                <w:highlight w:val="none"/>
              </w:rPr>
              <w:t>统一社会信用代码□□□□□□□□□□□□□□□□□□</w:t>
            </w:r>
          </w:p>
        </w:tc>
        <w:tc>
          <w:tcPr>
            <w:tcW w:w="1050" w:type="dxa"/>
            <w:tcBorders>
              <w:top w:val="nil"/>
              <w:left w:val="nil"/>
              <w:bottom w:val="nil"/>
              <w:right w:val="nil"/>
            </w:tcBorders>
            <w:noWrap w:val="0"/>
            <w:vAlign w:val="center"/>
          </w:tcPr>
          <w:p w14:paraId="4D2648DE">
            <w:pPr>
              <w:pStyle w:val="139"/>
              <w:tabs>
                <w:tab w:val="left" w:pos="730"/>
              </w:tabs>
              <w:autoSpaceDE/>
              <w:autoSpaceDN/>
              <w:adjustRightInd/>
              <w:spacing w:before="14" w:line="240" w:lineRule="exact"/>
              <w:jc w:val="both"/>
              <w:rPr>
                <w:rFonts w:ascii="Times New Roman" w:hAnsi="Times New Roman"/>
                <w:bCs/>
                <w:color w:val="auto"/>
                <w:sz w:val="18"/>
                <w:szCs w:val="18"/>
                <w:highlight w:val="none"/>
              </w:rPr>
            </w:pPr>
            <w:r>
              <w:rPr>
                <w:rFonts w:ascii="Times New Roman" w:hAnsi="Times New Roman"/>
                <w:bCs/>
                <w:color w:val="auto"/>
                <w:sz w:val="18"/>
                <w:szCs w:val="18"/>
                <w:highlight w:val="none"/>
              </w:rPr>
              <w:t>批准文号：</w:t>
            </w:r>
          </w:p>
        </w:tc>
        <w:tc>
          <w:tcPr>
            <w:tcW w:w="1965" w:type="dxa"/>
            <w:tcBorders>
              <w:top w:val="nil"/>
              <w:left w:val="nil"/>
              <w:bottom w:val="nil"/>
              <w:right w:val="nil"/>
            </w:tcBorders>
            <w:noWrap w:val="0"/>
            <w:vAlign w:val="center"/>
          </w:tcPr>
          <w:p w14:paraId="313BE117">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国统制〔202</w:t>
            </w:r>
            <w:r>
              <w:rPr>
                <w:rFonts w:hint="eastAsia" w:ascii="Times New Roman" w:hAnsi="Times New Roman"/>
                <w:bCs/>
                <w:color w:val="auto"/>
                <w:sz w:val="18"/>
                <w:highlight w:val="none"/>
                <w:lang w:val="en-US" w:eastAsia="zh-CN"/>
              </w:rPr>
              <w:t>4</w:t>
            </w:r>
            <w:r>
              <w:rPr>
                <w:rFonts w:ascii="Times New Roman" w:hAnsi="Times New Roman"/>
                <w:bCs/>
                <w:color w:val="auto"/>
                <w:sz w:val="18"/>
                <w:highlight w:val="none"/>
              </w:rPr>
              <w:t>〕</w:t>
            </w:r>
            <w:r>
              <w:rPr>
                <w:rFonts w:hint="eastAsia" w:ascii="Times New Roman" w:hAnsi="Times New Roman"/>
                <w:bCs/>
                <w:color w:val="auto"/>
                <w:sz w:val="18"/>
                <w:highlight w:val="none"/>
                <w:lang w:val="en-US" w:eastAsia="zh-CN"/>
              </w:rPr>
              <w:t>187</w:t>
            </w:r>
            <w:r>
              <w:rPr>
                <w:rFonts w:ascii="Times New Roman" w:hAnsi="Times New Roman"/>
                <w:bCs/>
                <w:color w:val="auto"/>
                <w:sz w:val="18"/>
                <w:highlight w:val="none"/>
              </w:rPr>
              <w:t>号</w:t>
            </w:r>
          </w:p>
        </w:tc>
      </w:tr>
      <w:tr w14:paraId="789557C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83" w:hRule="atLeast"/>
          <w:jc w:val="center"/>
        </w:trPr>
        <w:tc>
          <w:tcPr>
            <w:tcW w:w="3491" w:type="dxa"/>
            <w:gridSpan w:val="2"/>
            <w:tcBorders>
              <w:top w:val="nil"/>
              <w:left w:val="nil"/>
              <w:bottom w:val="nil"/>
              <w:right w:val="nil"/>
            </w:tcBorders>
            <w:noWrap w:val="0"/>
            <w:vAlign w:val="center"/>
          </w:tcPr>
          <w:p w14:paraId="7885E33F">
            <w:pPr>
              <w:snapToGrid w:val="0"/>
              <w:spacing w:line="220" w:lineRule="exact"/>
              <w:jc w:val="left"/>
              <w:rPr>
                <w:rFonts w:ascii="Times New Roman" w:hAnsi="Times New Roman"/>
                <w:bCs/>
                <w:color w:val="auto"/>
                <w:sz w:val="18"/>
                <w:szCs w:val="18"/>
                <w:highlight w:val="none"/>
              </w:rPr>
            </w:pPr>
            <w:r>
              <w:rPr>
                <w:rFonts w:ascii="Times New Roman" w:hAnsi="Times New Roman"/>
                <w:bCs/>
                <w:color w:val="auto"/>
                <w:sz w:val="18"/>
                <w:szCs w:val="18"/>
                <w:highlight w:val="none"/>
              </w:rPr>
              <w:t>单位详细名称：</w:t>
            </w:r>
          </w:p>
        </w:tc>
        <w:tc>
          <w:tcPr>
            <w:tcW w:w="3315" w:type="dxa"/>
            <w:tcBorders>
              <w:top w:val="nil"/>
              <w:left w:val="nil"/>
              <w:bottom w:val="nil"/>
              <w:right w:val="nil"/>
            </w:tcBorders>
            <w:noWrap w:val="0"/>
            <w:vAlign w:val="center"/>
          </w:tcPr>
          <w:p w14:paraId="63D25AC7">
            <w:pPr>
              <w:snapToGrid w:val="0"/>
              <w:spacing w:line="22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２０</w:t>
            </w:r>
            <w:r>
              <w:rPr>
                <w:rFonts w:hint="eastAsia"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rPr>
              <w:t>年</w:t>
            </w:r>
          </w:p>
        </w:tc>
        <w:tc>
          <w:tcPr>
            <w:tcW w:w="1050" w:type="dxa"/>
            <w:tcBorders>
              <w:top w:val="nil"/>
              <w:left w:val="nil"/>
              <w:bottom w:val="nil"/>
              <w:right w:val="nil"/>
            </w:tcBorders>
            <w:noWrap w:val="0"/>
            <w:vAlign w:val="center"/>
          </w:tcPr>
          <w:p w14:paraId="07892661">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有效期至：</w:t>
            </w:r>
          </w:p>
        </w:tc>
        <w:tc>
          <w:tcPr>
            <w:tcW w:w="1965" w:type="dxa"/>
            <w:tcBorders>
              <w:top w:val="nil"/>
              <w:left w:val="nil"/>
              <w:bottom w:val="nil"/>
              <w:right w:val="nil"/>
            </w:tcBorders>
            <w:noWrap w:val="0"/>
            <w:vAlign w:val="center"/>
          </w:tcPr>
          <w:p w14:paraId="325492B0">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szCs w:val="18"/>
                <w:highlight w:val="none"/>
                <w:lang w:val="en-US" w:eastAsia="zh-CN"/>
              </w:rPr>
              <w:t>2027</w:t>
            </w:r>
            <w:r>
              <w:rPr>
                <w:rFonts w:ascii="Times New Roman" w:hAnsi="Times New Roman"/>
                <w:bCs/>
                <w:color w:val="auto"/>
                <w:sz w:val="18"/>
                <w:highlight w:val="none"/>
              </w:rPr>
              <w:t>年</w:t>
            </w:r>
            <w:r>
              <w:rPr>
                <w:rFonts w:hint="eastAsia" w:ascii="Times New Roman" w:hAnsi="Times New Roman"/>
                <w:bCs/>
                <w:color w:val="auto"/>
                <w:sz w:val="18"/>
                <w:highlight w:val="none"/>
                <w:lang w:val="en-US" w:eastAsia="zh-CN"/>
              </w:rPr>
              <w:t>12</w:t>
            </w:r>
            <w:r>
              <w:rPr>
                <w:rFonts w:ascii="Times New Roman" w:hAnsi="Times New Roman"/>
                <w:bCs/>
                <w:color w:val="auto"/>
                <w:sz w:val="18"/>
                <w:highlight w:val="none"/>
              </w:rPr>
              <w:t>月</w:t>
            </w:r>
          </w:p>
        </w:tc>
      </w:tr>
      <w:tr w14:paraId="1309805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8" w:space="0"/>
              <w:left w:val="nil"/>
              <w:bottom w:val="single" w:color="auto" w:sz="4" w:space="0"/>
              <w:right w:val="single" w:color="auto" w:sz="2" w:space="0"/>
            </w:tcBorders>
            <w:noWrap w:val="0"/>
            <w:vAlign w:val="center"/>
          </w:tcPr>
          <w:p w14:paraId="2C3C8CDC">
            <w:pPr>
              <w:snapToGrid w:val="0"/>
              <w:spacing w:line="280" w:lineRule="exact"/>
              <w:jc w:val="center"/>
              <w:rPr>
                <w:rFonts w:ascii="Times New Roman" w:hAnsi="Times New Roman"/>
                <w:bCs/>
                <w:color w:val="auto"/>
                <w:sz w:val="18"/>
                <w:szCs w:val="18"/>
                <w:highlight w:val="none"/>
              </w:rPr>
            </w:pPr>
            <w:r>
              <w:rPr>
                <w:rFonts w:hint="eastAsia"/>
                <w:bCs/>
                <w:color w:val="auto"/>
                <w:sz w:val="18"/>
                <w:szCs w:val="18"/>
                <w:highlight w:val="none"/>
              </w:rPr>
              <w:t>sName</w:t>
            </w:r>
          </w:p>
        </w:tc>
        <w:tc>
          <w:tcPr>
            <w:tcW w:w="8940" w:type="dxa"/>
            <w:gridSpan w:val="4"/>
            <w:tcBorders>
              <w:top w:val="single" w:color="auto" w:sz="8" w:space="0"/>
              <w:left w:val="single" w:color="auto" w:sz="2" w:space="0"/>
              <w:bottom w:val="single" w:color="auto" w:sz="4" w:space="0"/>
              <w:right w:val="nil"/>
            </w:tcBorders>
            <w:noWrap w:val="0"/>
            <w:vAlign w:val="center"/>
          </w:tcPr>
          <w:p w14:paraId="0AF32AAF">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企业(单位)详细名称</w:t>
            </w:r>
          </w:p>
        </w:tc>
      </w:tr>
      <w:tr w14:paraId="2A0A608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7D546B7B">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sname_0</w:t>
            </w:r>
          </w:p>
        </w:tc>
        <w:tc>
          <w:tcPr>
            <w:tcW w:w="8940" w:type="dxa"/>
            <w:gridSpan w:val="4"/>
            <w:tcBorders>
              <w:top w:val="single" w:color="auto" w:sz="4" w:space="0"/>
              <w:left w:val="single" w:color="auto" w:sz="2" w:space="0"/>
              <w:bottom w:val="single" w:color="auto" w:sz="4" w:space="0"/>
              <w:right w:val="nil"/>
            </w:tcBorders>
            <w:noWrap w:val="0"/>
            <w:vAlign w:val="center"/>
          </w:tcPr>
          <w:p w14:paraId="200EA0D7">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企业(单位)英文名称</w:t>
            </w:r>
          </w:p>
        </w:tc>
      </w:tr>
      <w:tr w14:paraId="051B1DC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2" w:space="0"/>
              <w:right w:val="single" w:color="auto" w:sz="2" w:space="0"/>
            </w:tcBorders>
            <w:noWrap w:val="0"/>
            <w:vAlign w:val="center"/>
          </w:tcPr>
          <w:p w14:paraId="561805BD">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QA18</w:t>
            </w:r>
          </w:p>
        </w:tc>
        <w:tc>
          <w:tcPr>
            <w:tcW w:w="8940" w:type="dxa"/>
            <w:gridSpan w:val="4"/>
            <w:tcBorders>
              <w:top w:val="single" w:color="auto" w:sz="4" w:space="0"/>
              <w:left w:val="single" w:color="auto" w:sz="2" w:space="0"/>
              <w:bottom w:val="single" w:color="auto" w:sz="2" w:space="0"/>
              <w:right w:val="nil"/>
            </w:tcBorders>
            <w:noWrap w:val="0"/>
            <w:vAlign w:val="center"/>
          </w:tcPr>
          <w:p w14:paraId="38E7D9CB">
            <w:pPr>
              <w:snapToGrid w:val="0"/>
              <w:spacing w:line="280" w:lineRule="exact"/>
              <w:rPr>
                <w:rFonts w:ascii="Times New Roman" w:hAnsi="Times New Roman"/>
                <w:bCs/>
                <w:color w:val="auto"/>
                <w:sz w:val="18"/>
                <w:szCs w:val="18"/>
                <w:highlight w:val="none"/>
              </w:rPr>
            </w:pPr>
            <w:r>
              <w:rPr>
                <w:rFonts w:hint="eastAsia" w:ascii="宋体" w:hAnsi="宋体" w:cs="宋体"/>
                <w:bCs/>
                <w:color w:val="auto"/>
                <w:sz w:val="18"/>
                <w:szCs w:val="18"/>
                <w:highlight w:val="none"/>
              </w:rPr>
              <w:t>是否</w:t>
            </w:r>
            <w:r>
              <w:rPr>
                <w:rFonts w:ascii="宋体" w:hAnsi="宋体" w:cs="宋体"/>
                <w:bCs/>
                <w:color w:val="auto"/>
                <w:sz w:val="18"/>
                <w:szCs w:val="18"/>
                <w:highlight w:val="none"/>
              </w:rPr>
              <w:t>填写国家统计局一套表</w:t>
            </w:r>
            <w:r>
              <w:rPr>
                <w:rFonts w:hint="eastAsia" w:ascii="宋体" w:hAnsi="宋体" w:cs="宋体"/>
                <w:bCs/>
                <w:color w:val="auto"/>
                <w:sz w:val="18"/>
                <w:szCs w:val="18"/>
                <w:highlight w:val="none"/>
              </w:rPr>
              <w:t xml:space="preserve">  </w:t>
            </w:r>
            <w:r>
              <w:rPr>
                <w:rFonts w:ascii="宋体" w:hAnsi="宋体" w:cs="宋体"/>
                <w:bCs/>
                <w:color w:val="auto"/>
                <w:sz w:val="18"/>
                <w:szCs w:val="18"/>
                <w:highlight w:val="none"/>
              </w:rPr>
              <w:t>□  1.是  2.否</w:t>
            </w:r>
          </w:p>
        </w:tc>
      </w:tr>
      <w:tr w14:paraId="1BA8504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2" w:space="0"/>
              <w:left w:val="nil"/>
              <w:bottom w:val="single" w:color="auto" w:sz="2" w:space="0"/>
              <w:right w:val="single" w:color="auto" w:sz="2" w:space="0"/>
            </w:tcBorders>
            <w:noWrap w:val="0"/>
            <w:vAlign w:val="center"/>
          </w:tcPr>
          <w:p w14:paraId="108E93B4">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QA19</w:t>
            </w:r>
          </w:p>
        </w:tc>
        <w:tc>
          <w:tcPr>
            <w:tcW w:w="8940" w:type="dxa"/>
            <w:gridSpan w:val="4"/>
            <w:tcBorders>
              <w:top w:val="single" w:color="auto" w:sz="2" w:space="0"/>
              <w:left w:val="single" w:color="auto" w:sz="2" w:space="0"/>
              <w:bottom w:val="single" w:color="auto" w:sz="2" w:space="0"/>
              <w:right w:val="nil"/>
            </w:tcBorders>
            <w:noWrap w:val="0"/>
            <w:vAlign w:val="center"/>
          </w:tcPr>
          <w:p w14:paraId="271516CF">
            <w:pPr>
              <w:snapToGrid w:val="0"/>
              <w:spacing w:line="280" w:lineRule="exact"/>
              <w:rPr>
                <w:rFonts w:ascii="Times New Roman" w:hAnsi="Times New Roman"/>
                <w:bCs/>
                <w:color w:val="auto"/>
                <w:szCs w:val="21"/>
                <w:highlight w:val="none"/>
              </w:rPr>
            </w:pPr>
            <w:r>
              <w:rPr>
                <w:rFonts w:hint="eastAsia"/>
                <w:bCs/>
                <w:color w:val="auto"/>
                <w:sz w:val="18"/>
                <w:szCs w:val="18"/>
                <w:highlight w:val="none"/>
              </w:rPr>
              <w:t>行政区划代码□□□□□□</w:t>
            </w:r>
          </w:p>
        </w:tc>
      </w:tr>
      <w:tr w14:paraId="766C91C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2" w:space="0"/>
              <w:left w:val="nil"/>
              <w:bottom w:val="single" w:color="auto" w:sz="4" w:space="0"/>
              <w:right w:val="single" w:color="auto" w:sz="2" w:space="0"/>
            </w:tcBorders>
            <w:noWrap w:val="0"/>
            <w:vAlign w:val="center"/>
          </w:tcPr>
          <w:p w14:paraId="0BCA0A07">
            <w:pPr>
              <w:snapToGrid w:val="0"/>
              <w:spacing w:line="280" w:lineRule="exact"/>
              <w:jc w:val="center"/>
              <w:rPr>
                <w:rFonts w:hint="default" w:ascii="Times New Roman" w:hAnsi="Times New Roman" w:eastAsia="宋体"/>
                <w:bCs/>
                <w:color w:val="auto"/>
                <w:sz w:val="18"/>
                <w:szCs w:val="18"/>
                <w:highlight w:val="none"/>
                <w:lang w:val="en-US" w:eastAsia="zh-CN"/>
              </w:rPr>
            </w:pPr>
            <w:r>
              <w:rPr>
                <w:bCs/>
                <w:color w:val="auto"/>
                <w:sz w:val="18"/>
                <w:szCs w:val="18"/>
                <w:highlight w:val="none"/>
              </w:rPr>
              <w:t>QA</w:t>
            </w:r>
            <w:r>
              <w:rPr>
                <w:rFonts w:hint="eastAsia"/>
                <w:bCs/>
                <w:color w:val="auto"/>
                <w:sz w:val="18"/>
                <w:szCs w:val="18"/>
                <w:highlight w:val="none"/>
                <w:lang w:val="en-US" w:eastAsia="zh-CN"/>
              </w:rPr>
              <w:t>15</w:t>
            </w:r>
          </w:p>
        </w:tc>
        <w:tc>
          <w:tcPr>
            <w:tcW w:w="8940" w:type="dxa"/>
            <w:gridSpan w:val="4"/>
            <w:tcBorders>
              <w:top w:val="single" w:color="auto" w:sz="2" w:space="0"/>
              <w:left w:val="single" w:color="auto" w:sz="2" w:space="0"/>
              <w:bottom w:val="single" w:color="auto" w:sz="4" w:space="0"/>
              <w:right w:val="nil"/>
            </w:tcBorders>
            <w:noWrap w:val="0"/>
            <w:vAlign w:val="center"/>
          </w:tcPr>
          <w:p w14:paraId="33968C9D">
            <w:pPr>
              <w:snapToGrid w:val="0"/>
              <w:spacing w:line="280" w:lineRule="exact"/>
              <w:rPr>
                <w:rFonts w:hint="eastAsia" w:ascii="Calibri" w:hAnsi="Calibri" w:cs="Times New Roman"/>
                <w:bCs/>
                <w:color w:val="auto"/>
                <w:sz w:val="18"/>
                <w:szCs w:val="18"/>
                <w:highlight w:val="none"/>
              </w:rPr>
            </w:pPr>
            <w:r>
              <w:rPr>
                <w:rFonts w:hint="eastAsia" w:ascii="Calibri" w:hAnsi="Calibri" w:cs="Times New Roman"/>
                <w:bCs/>
                <w:color w:val="auto"/>
                <w:sz w:val="18"/>
                <w:szCs w:val="18"/>
                <w:highlight w:val="none"/>
              </w:rPr>
              <w:t>机构类型    □□</w:t>
            </w:r>
          </w:p>
          <w:p w14:paraId="0024DD30">
            <w:pPr>
              <w:snapToGrid w:val="0"/>
              <w:spacing w:line="280" w:lineRule="exact"/>
              <w:rPr>
                <w:rFonts w:hint="eastAsia" w:ascii="Times New Roman" w:hAnsi="Times New Roman"/>
                <w:bCs/>
                <w:color w:val="auto"/>
                <w:kern w:val="2"/>
                <w:sz w:val="18"/>
                <w:szCs w:val="18"/>
                <w:highlight w:val="none"/>
                <w:lang w:val="en-US" w:eastAsia="zh-CN" w:bidi="ar-SA"/>
              </w:rPr>
            </w:pPr>
            <w:r>
              <w:rPr>
                <w:rFonts w:hint="eastAsia" w:ascii="Calibri" w:hAnsi="Calibri" w:cs="Times New Roman"/>
                <w:bCs/>
                <w:color w:val="auto"/>
                <w:sz w:val="18"/>
                <w:szCs w:val="18"/>
                <w:highlight w:val="none"/>
              </w:rPr>
              <w:t>10 企业   20 事业单位   40 社会团体   51 民办非企业单位</w:t>
            </w:r>
            <w:r>
              <w:rPr>
                <w:rFonts w:hint="eastAsia" w:ascii="Calibri" w:hAnsi="Calibri" w:cs="Times New Roman"/>
                <w:bCs/>
                <w:color w:val="auto"/>
                <w:sz w:val="18"/>
                <w:szCs w:val="18"/>
                <w:highlight w:val="none"/>
                <w:lang w:val="en-US" w:eastAsia="zh-CN"/>
              </w:rPr>
              <w:t xml:space="preserve">  </w:t>
            </w:r>
            <w:r>
              <w:rPr>
                <w:rFonts w:hint="eastAsia" w:ascii="Calibri" w:hAnsi="Calibri" w:cs="Times New Roman"/>
                <w:bCs/>
                <w:color w:val="auto"/>
                <w:sz w:val="18"/>
                <w:szCs w:val="18"/>
                <w:highlight w:val="none"/>
              </w:rPr>
              <w:t>90 其他组织机构</w:t>
            </w:r>
          </w:p>
        </w:tc>
      </w:tr>
      <w:tr w14:paraId="7D478C4F">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4" w:space="0"/>
            </w:tcBorders>
            <w:noWrap w:val="0"/>
            <w:vAlign w:val="center"/>
          </w:tcPr>
          <w:p w14:paraId="2E6D35AC">
            <w:pPr>
              <w:snapToGrid w:val="0"/>
              <w:spacing w:line="280" w:lineRule="exact"/>
              <w:jc w:val="center"/>
              <w:rPr>
                <w:rFonts w:ascii="Times New Roman" w:hAnsi="Times New Roman"/>
                <w:bCs/>
                <w:color w:val="auto"/>
                <w:sz w:val="18"/>
                <w:szCs w:val="18"/>
                <w:highlight w:val="none"/>
              </w:rPr>
            </w:pPr>
            <w:r>
              <w:rPr>
                <w:rFonts w:hint="eastAsia"/>
                <w:bCs/>
                <w:color w:val="auto"/>
                <w:sz w:val="18"/>
                <w:szCs w:val="18"/>
                <w:highlight w:val="none"/>
              </w:rPr>
              <w:t>sAddress</w:t>
            </w:r>
            <w:r>
              <w:rPr>
                <w:bCs/>
                <w:color w:val="auto"/>
                <w:sz w:val="18"/>
                <w:szCs w:val="18"/>
                <w:highlight w:val="none"/>
              </w:rPr>
              <w:t>QA06</w:t>
            </w:r>
          </w:p>
        </w:tc>
        <w:tc>
          <w:tcPr>
            <w:tcW w:w="8940" w:type="dxa"/>
            <w:gridSpan w:val="4"/>
            <w:tcBorders>
              <w:top w:val="single" w:color="auto" w:sz="4" w:space="0"/>
              <w:left w:val="single" w:color="auto" w:sz="4" w:space="0"/>
              <w:bottom w:val="single" w:color="auto" w:sz="4" w:space="0"/>
              <w:right w:val="nil"/>
            </w:tcBorders>
            <w:noWrap w:val="0"/>
            <w:vAlign w:val="center"/>
          </w:tcPr>
          <w:p w14:paraId="39E78335">
            <w:pPr>
              <w:snapToGrid w:val="0"/>
              <w:spacing w:line="280" w:lineRule="exact"/>
              <w:rPr>
                <w:bCs/>
                <w:color w:val="auto"/>
                <w:sz w:val="18"/>
                <w:szCs w:val="18"/>
                <w:highlight w:val="none"/>
              </w:rPr>
            </w:pPr>
            <w:r>
              <w:rPr>
                <w:rFonts w:hint="eastAsia"/>
                <w:bCs/>
                <w:color w:val="auto"/>
                <w:sz w:val="18"/>
                <w:szCs w:val="18"/>
                <w:highlight w:val="none"/>
              </w:rPr>
              <w:t>企业单位通讯地址（sAddress）</w:t>
            </w:r>
          </w:p>
          <w:p w14:paraId="226F2F4E">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邮政编码（QA06）□□□□□□</w:t>
            </w:r>
          </w:p>
        </w:tc>
      </w:tr>
      <w:tr w14:paraId="708C1AD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4" w:space="0"/>
            </w:tcBorders>
            <w:noWrap w:val="0"/>
            <w:vAlign w:val="center"/>
          </w:tcPr>
          <w:p w14:paraId="56D0C120">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QA07</w:t>
            </w:r>
          </w:p>
        </w:tc>
        <w:tc>
          <w:tcPr>
            <w:tcW w:w="8940" w:type="dxa"/>
            <w:gridSpan w:val="4"/>
            <w:tcBorders>
              <w:top w:val="single" w:color="auto" w:sz="4" w:space="0"/>
              <w:left w:val="single" w:color="auto" w:sz="4" w:space="0"/>
              <w:bottom w:val="single" w:color="auto" w:sz="4" w:space="0"/>
              <w:right w:val="nil"/>
            </w:tcBorders>
            <w:noWrap w:val="0"/>
            <w:vAlign w:val="center"/>
          </w:tcPr>
          <w:p w14:paraId="08E3DF1A">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企业注册地址</w:t>
            </w:r>
          </w:p>
        </w:tc>
      </w:tr>
      <w:tr w14:paraId="71B52EF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4" w:space="0"/>
            </w:tcBorders>
            <w:shd w:val="clear" w:color="auto" w:fill="D9D9D9"/>
            <w:noWrap w:val="0"/>
            <w:vAlign w:val="center"/>
          </w:tcPr>
          <w:p w14:paraId="68A85F8A">
            <w:pPr>
              <w:snapToGrid w:val="0"/>
              <w:spacing w:line="280" w:lineRule="exact"/>
              <w:jc w:val="center"/>
              <w:rPr>
                <w:bCs/>
                <w:color w:val="auto"/>
                <w:sz w:val="18"/>
                <w:szCs w:val="18"/>
                <w:highlight w:val="none"/>
              </w:rPr>
            </w:pPr>
            <w:r>
              <w:rPr>
                <w:bCs/>
                <w:color w:val="auto"/>
                <w:sz w:val="18"/>
                <w:szCs w:val="18"/>
                <w:highlight w:val="none"/>
              </w:rPr>
              <w:t>QB07_2</w:t>
            </w:r>
          </w:p>
          <w:p w14:paraId="743D4C1B">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QB07_3</w:t>
            </w:r>
          </w:p>
        </w:tc>
        <w:tc>
          <w:tcPr>
            <w:tcW w:w="8940" w:type="dxa"/>
            <w:gridSpan w:val="4"/>
            <w:tcBorders>
              <w:top w:val="single" w:color="auto" w:sz="4" w:space="0"/>
              <w:left w:val="single" w:color="auto" w:sz="4" w:space="0"/>
              <w:bottom w:val="single" w:color="auto" w:sz="4" w:space="0"/>
              <w:right w:val="nil"/>
            </w:tcBorders>
            <w:shd w:val="clear" w:color="auto" w:fill="D9D9D9"/>
            <w:noWrap w:val="0"/>
            <w:vAlign w:val="center"/>
          </w:tcPr>
          <w:p w14:paraId="2CD62B0E">
            <w:pPr>
              <w:snapToGrid w:val="0"/>
              <w:spacing w:line="280" w:lineRule="exact"/>
              <w:rPr>
                <w:rFonts w:cs="宋体"/>
                <w:bCs/>
                <w:color w:val="auto"/>
                <w:sz w:val="18"/>
                <w:szCs w:val="18"/>
                <w:highlight w:val="none"/>
              </w:rPr>
            </w:pPr>
            <w:r>
              <w:rPr>
                <w:rFonts w:cs="宋体"/>
                <w:bCs/>
                <w:color w:val="auto"/>
                <w:sz w:val="18"/>
                <w:szCs w:val="18"/>
                <w:highlight w:val="none"/>
              </w:rPr>
              <w:t xml:space="preserve">企业注册地是否在国家高新技术产业开发区内（QB07_2）       </w:t>
            </w:r>
            <w:r>
              <w:rPr>
                <w:rFonts w:ascii="宋体" w:hAnsi="宋体" w:cs="宋体"/>
                <w:bCs/>
                <w:color w:val="auto"/>
                <w:sz w:val="18"/>
                <w:szCs w:val="18"/>
                <w:highlight w:val="none"/>
              </w:rPr>
              <w:t xml:space="preserve"> □</w:t>
            </w:r>
            <w:r>
              <w:rPr>
                <w:rFonts w:cs="宋体"/>
                <w:bCs/>
                <w:color w:val="auto"/>
                <w:sz w:val="18"/>
                <w:szCs w:val="18"/>
                <w:highlight w:val="none"/>
              </w:rPr>
              <w:t xml:space="preserve">  1.是  2.否</w:t>
            </w:r>
          </w:p>
          <w:p w14:paraId="42B2F113">
            <w:pPr>
              <w:snapToGrid w:val="0"/>
              <w:spacing w:line="280" w:lineRule="exact"/>
              <w:rPr>
                <w:bCs/>
                <w:color w:val="auto"/>
                <w:sz w:val="18"/>
                <w:szCs w:val="18"/>
                <w:highlight w:val="none"/>
              </w:rPr>
            </w:pPr>
            <w:r>
              <w:rPr>
                <w:rFonts w:cs="宋体"/>
                <w:bCs/>
                <w:color w:val="auto"/>
                <w:sz w:val="18"/>
                <w:szCs w:val="18"/>
                <w:highlight w:val="none"/>
              </w:rPr>
              <w:t xml:space="preserve">企业主要生产经营活动是否在国家高新技术产业开发区内（QB07_3） </w:t>
            </w:r>
            <w:r>
              <w:rPr>
                <w:rFonts w:ascii="宋体" w:hAnsi="宋体" w:cs="宋体"/>
                <w:bCs/>
                <w:color w:val="auto"/>
                <w:sz w:val="18"/>
                <w:szCs w:val="18"/>
                <w:highlight w:val="none"/>
              </w:rPr>
              <w:t xml:space="preserve"> □</w:t>
            </w:r>
            <w:r>
              <w:rPr>
                <w:rFonts w:cs="宋体"/>
                <w:bCs/>
                <w:color w:val="auto"/>
                <w:sz w:val="18"/>
                <w:szCs w:val="18"/>
                <w:highlight w:val="none"/>
              </w:rPr>
              <w:t xml:space="preserve">  1.是  2.否</w:t>
            </w:r>
          </w:p>
        </w:tc>
      </w:tr>
      <w:tr w14:paraId="034A8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dxa"/>
            <w:tcBorders>
              <w:left w:val="nil"/>
            </w:tcBorders>
            <w:noWrap w:val="0"/>
            <w:vAlign w:val="center"/>
          </w:tcPr>
          <w:p w14:paraId="6B0E5070">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QB08</w:t>
            </w:r>
          </w:p>
        </w:tc>
        <w:tc>
          <w:tcPr>
            <w:tcW w:w="8940" w:type="dxa"/>
            <w:gridSpan w:val="4"/>
            <w:tcBorders>
              <w:right w:val="nil"/>
            </w:tcBorders>
            <w:noWrap w:val="0"/>
            <w:vAlign w:val="center"/>
          </w:tcPr>
          <w:p w14:paraId="1D101766">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已进区企业被批准入区时间（QB08）□□□□年</w:t>
            </w:r>
          </w:p>
        </w:tc>
      </w:tr>
      <w:tr w14:paraId="55FCAAB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4" w:space="0"/>
            </w:tcBorders>
            <w:noWrap w:val="0"/>
            <w:vAlign w:val="center"/>
          </w:tcPr>
          <w:p w14:paraId="20F895B8">
            <w:pPr>
              <w:snapToGrid w:val="0"/>
              <w:spacing w:line="280" w:lineRule="exact"/>
              <w:jc w:val="left"/>
              <w:rPr>
                <w:bCs/>
                <w:color w:val="auto"/>
                <w:sz w:val="18"/>
                <w:szCs w:val="18"/>
                <w:highlight w:val="none"/>
              </w:rPr>
            </w:pPr>
          </w:p>
          <w:p w14:paraId="3B03E019">
            <w:pPr>
              <w:snapToGrid w:val="0"/>
              <w:spacing w:line="280" w:lineRule="exact"/>
              <w:jc w:val="center"/>
              <w:rPr>
                <w:bCs/>
                <w:color w:val="auto"/>
                <w:sz w:val="18"/>
                <w:szCs w:val="18"/>
                <w:highlight w:val="none"/>
              </w:rPr>
            </w:pPr>
            <w:r>
              <w:rPr>
                <w:bCs/>
                <w:color w:val="auto"/>
                <w:sz w:val="18"/>
                <w:szCs w:val="18"/>
                <w:highlight w:val="none"/>
              </w:rPr>
              <w:t>QA08</w:t>
            </w:r>
          </w:p>
          <w:p w14:paraId="199F00A1">
            <w:pPr>
              <w:snapToGrid w:val="0"/>
              <w:spacing w:line="280" w:lineRule="exact"/>
              <w:jc w:val="center"/>
              <w:rPr>
                <w:bCs/>
                <w:color w:val="auto"/>
                <w:sz w:val="18"/>
                <w:szCs w:val="18"/>
                <w:highlight w:val="none"/>
              </w:rPr>
            </w:pPr>
            <w:r>
              <w:rPr>
                <w:bCs/>
                <w:color w:val="auto"/>
                <w:sz w:val="18"/>
                <w:szCs w:val="18"/>
                <w:highlight w:val="none"/>
              </w:rPr>
              <w:t>QA09</w:t>
            </w:r>
          </w:p>
          <w:p w14:paraId="2ECE543D">
            <w:pPr>
              <w:snapToGrid w:val="0"/>
              <w:spacing w:line="280" w:lineRule="exact"/>
              <w:jc w:val="center"/>
              <w:rPr>
                <w:bCs/>
                <w:color w:val="auto"/>
                <w:sz w:val="18"/>
                <w:szCs w:val="18"/>
                <w:highlight w:val="none"/>
              </w:rPr>
            </w:pPr>
            <w:r>
              <w:rPr>
                <w:bCs/>
                <w:color w:val="auto"/>
                <w:sz w:val="18"/>
                <w:szCs w:val="18"/>
                <w:highlight w:val="none"/>
              </w:rPr>
              <w:t>QA20</w:t>
            </w:r>
          </w:p>
          <w:p w14:paraId="0CA1B1B4">
            <w:pPr>
              <w:snapToGrid w:val="0"/>
              <w:spacing w:line="280" w:lineRule="exact"/>
              <w:jc w:val="center"/>
              <w:rPr>
                <w:bCs/>
                <w:color w:val="auto"/>
                <w:sz w:val="18"/>
                <w:szCs w:val="18"/>
                <w:highlight w:val="none"/>
              </w:rPr>
            </w:pPr>
            <w:r>
              <w:rPr>
                <w:bCs/>
                <w:color w:val="auto"/>
                <w:sz w:val="18"/>
                <w:szCs w:val="18"/>
                <w:highlight w:val="none"/>
              </w:rPr>
              <w:t>QA11</w:t>
            </w:r>
          </w:p>
          <w:p w14:paraId="7F58A0CD">
            <w:pPr>
              <w:snapToGrid w:val="0"/>
              <w:spacing w:line="280" w:lineRule="exact"/>
              <w:jc w:val="center"/>
              <w:rPr>
                <w:bCs/>
                <w:color w:val="auto"/>
                <w:sz w:val="18"/>
                <w:szCs w:val="18"/>
                <w:highlight w:val="none"/>
              </w:rPr>
            </w:pPr>
            <w:r>
              <w:rPr>
                <w:bCs/>
                <w:color w:val="auto"/>
                <w:sz w:val="18"/>
                <w:szCs w:val="18"/>
                <w:highlight w:val="none"/>
              </w:rPr>
              <w:t>QA17</w:t>
            </w:r>
          </w:p>
          <w:p w14:paraId="18E0FEC0">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 xml:space="preserve">QA17_1 QA13 </w:t>
            </w:r>
          </w:p>
        </w:tc>
        <w:tc>
          <w:tcPr>
            <w:tcW w:w="8940" w:type="dxa"/>
            <w:gridSpan w:val="4"/>
            <w:tcBorders>
              <w:top w:val="single" w:color="auto" w:sz="4" w:space="0"/>
              <w:left w:val="single" w:color="auto" w:sz="4" w:space="0"/>
              <w:bottom w:val="single" w:color="auto" w:sz="4" w:space="0"/>
              <w:right w:val="nil"/>
            </w:tcBorders>
            <w:noWrap w:val="0"/>
            <w:vAlign w:val="center"/>
          </w:tcPr>
          <w:p w14:paraId="0097FBA7">
            <w:pPr>
              <w:snapToGrid w:val="0"/>
              <w:spacing w:line="280" w:lineRule="exact"/>
              <w:jc w:val="left"/>
              <w:rPr>
                <w:bCs/>
                <w:color w:val="auto"/>
                <w:sz w:val="18"/>
                <w:szCs w:val="18"/>
                <w:highlight w:val="none"/>
              </w:rPr>
            </w:pPr>
            <w:r>
              <w:rPr>
                <w:rFonts w:hint="eastAsia"/>
                <w:bCs/>
                <w:color w:val="auto"/>
                <w:sz w:val="18"/>
                <w:szCs w:val="18"/>
                <w:highlight w:val="none"/>
              </w:rPr>
              <w:t>联系方式</w:t>
            </w:r>
          </w:p>
          <w:p w14:paraId="44449A49">
            <w:pPr>
              <w:snapToGrid w:val="0"/>
              <w:spacing w:line="280" w:lineRule="exact"/>
              <w:jc w:val="left"/>
              <w:rPr>
                <w:bCs/>
                <w:color w:val="auto"/>
                <w:sz w:val="18"/>
                <w:szCs w:val="18"/>
                <w:highlight w:val="none"/>
              </w:rPr>
            </w:pPr>
            <w:r>
              <w:rPr>
                <w:rFonts w:hint="eastAsia"/>
                <w:bCs/>
                <w:color w:val="auto"/>
                <w:sz w:val="18"/>
                <w:szCs w:val="18"/>
                <w:highlight w:val="none"/>
              </w:rPr>
              <w:t>企业负责人（QA08）</w:t>
            </w:r>
          </w:p>
          <w:p w14:paraId="41CFCAC1">
            <w:pPr>
              <w:snapToGrid w:val="0"/>
              <w:spacing w:line="280" w:lineRule="exact"/>
              <w:rPr>
                <w:bCs/>
                <w:color w:val="auto"/>
                <w:sz w:val="18"/>
                <w:szCs w:val="18"/>
                <w:highlight w:val="none"/>
              </w:rPr>
            </w:pPr>
            <w:r>
              <w:rPr>
                <w:rFonts w:hint="eastAsia"/>
                <w:bCs/>
                <w:color w:val="auto"/>
                <w:sz w:val="18"/>
                <w:szCs w:val="18"/>
                <w:highlight w:val="none"/>
              </w:rPr>
              <w:t>联系电话（QA09）</w:t>
            </w:r>
          </w:p>
          <w:p w14:paraId="5C6EC5CD">
            <w:pPr>
              <w:snapToGrid w:val="0"/>
              <w:spacing w:line="280" w:lineRule="exact"/>
              <w:rPr>
                <w:bCs/>
                <w:color w:val="auto"/>
                <w:sz w:val="18"/>
                <w:szCs w:val="18"/>
                <w:highlight w:val="none"/>
              </w:rPr>
            </w:pPr>
            <w:r>
              <w:rPr>
                <w:rFonts w:hint="eastAsia"/>
                <w:bCs/>
                <w:color w:val="auto"/>
                <w:sz w:val="18"/>
                <w:szCs w:val="18"/>
                <w:highlight w:val="none"/>
              </w:rPr>
              <w:t>统计负责人（QA20）</w:t>
            </w:r>
          </w:p>
          <w:p w14:paraId="1ECD558B">
            <w:pPr>
              <w:snapToGrid w:val="0"/>
              <w:spacing w:line="280" w:lineRule="exact"/>
              <w:rPr>
                <w:bCs/>
                <w:color w:val="auto"/>
                <w:sz w:val="18"/>
                <w:szCs w:val="18"/>
                <w:highlight w:val="none"/>
              </w:rPr>
            </w:pPr>
            <w:r>
              <w:rPr>
                <w:rFonts w:hint="eastAsia"/>
                <w:bCs/>
                <w:color w:val="auto"/>
                <w:sz w:val="18"/>
                <w:szCs w:val="18"/>
                <w:highlight w:val="none"/>
              </w:rPr>
              <w:t>填报人（QA11）</w:t>
            </w:r>
          </w:p>
          <w:p w14:paraId="7CC08AD6">
            <w:pPr>
              <w:snapToGrid w:val="0"/>
              <w:spacing w:line="280" w:lineRule="exact"/>
              <w:rPr>
                <w:bCs/>
                <w:color w:val="auto"/>
                <w:sz w:val="18"/>
                <w:szCs w:val="18"/>
                <w:highlight w:val="none"/>
              </w:rPr>
            </w:pPr>
            <w:r>
              <w:rPr>
                <w:rFonts w:hint="eastAsia"/>
                <w:bCs/>
                <w:color w:val="auto"/>
                <w:sz w:val="18"/>
                <w:szCs w:val="18"/>
                <w:highlight w:val="none"/>
              </w:rPr>
              <w:t>填报人电话（QA17）</w:t>
            </w:r>
          </w:p>
          <w:p w14:paraId="220DE64D">
            <w:pPr>
              <w:snapToGrid w:val="0"/>
              <w:spacing w:line="280" w:lineRule="exact"/>
              <w:rPr>
                <w:bCs/>
                <w:color w:val="auto"/>
                <w:sz w:val="18"/>
                <w:szCs w:val="18"/>
                <w:highlight w:val="none"/>
              </w:rPr>
            </w:pPr>
            <w:r>
              <w:rPr>
                <w:rFonts w:hint="eastAsia"/>
                <w:bCs/>
                <w:color w:val="auto"/>
                <w:sz w:val="18"/>
                <w:szCs w:val="18"/>
                <w:highlight w:val="none"/>
              </w:rPr>
              <w:t>填报人手机（QA17_1）□□□□□□□□□□□</w:t>
            </w:r>
          </w:p>
          <w:p w14:paraId="2907F0E4">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email地址</w:t>
            </w:r>
          </w:p>
        </w:tc>
      </w:tr>
      <w:tr w14:paraId="4BB79FC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2" w:space="0"/>
              <w:right w:val="single" w:color="auto" w:sz="2" w:space="0"/>
            </w:tcBorders>
            <w:noWrap w:val="0"/>
            <w:vAlign w:val="center"/>
          </w:tcPr>
          <w:p w14:paraId="3FFA4EE9">
            <w:pPr>
              <w:snapToGrid w:val="0"/>
              <w:spacing w:line="280" w:lineRule="exact"/>
              <w:jc w:val="center"/>
              <w:rPr>
                <w:bCs/>
                <w:color w:val="auto"/>
                <w:sz w:val="18"/>
                <w:szCs w:val="18"/>
                <w:highlight w:val="none"/>
              </w:rPr>
            </w:pPr>
            <w:r>
              <w:rPr>
                <w:bCs/>
                <w:color w:val="auto"/>
                <w:sz w:val="18"/>
                <w:szCs w:val="18"/>
                <w:highlight w:val="none"/>
              </w:rPr>
              <w:t>QD19</w:t>
            </w:r>
          </w:p>
          <w:p w14:paraId="63307DE4">
            <w:pPr>
              <w:snapToGrid w:val="0"/>
              <w:spacing w:line="280" w:lineRule="exact"/>
              <w:jc w:val="center"/>
              <w:rPr>
                <w:bCs/>
                <w:color w:val="auto"/>
                <w:sz w:val="18"/>
                <w:szCs w:val="18"/>
                <w:highlight w:val="none"/>
              </w:rPr>
            </w:pPr>
            <w:r>
              <w:rPr>
                <w:bCs/>
                <w:color w:val="auto"/>
                <w:sz w:val="18"/>
                <w:szCs w:val="18"/>
                <w:highlight w:val="none"/>
              </w:rPr>
              <w:t>QD20</w:t>
            </w:r>
          </w:p>
          <w:p w14:paraId="3BBD7AE6">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QD22</w:t>
            </w:r>
          </w:p>
        </w:tc>
        <w:tc>
          <w:tcPr>
            <w:tcW w:w="8940" w:type="dxa"/>
            <w:gridSpan w:val="4"/>
            <w:tcBorders>
              <w:top w:val="single" w:color="auto" w:sz="4" w:space="0"/>
              <w:left w:val="single" w:color="auto" w:sz="2" w:space="0"/>
              <w:bottom w:val="single" w:color="auto" w:sz="2" w:space="0"/>
              <w:right w:val="nil"/>
            </w:tcBorders>
            <w:noWrap w:val="0"/>
            <w:vAlign w:val="center"/>
          </w:tcPr>
          <w:p w14:paraId="5D6B9F2A">
            <w:pPr>
              <w:spacing w:line="280" w:lineRule="exact"/>
              <w:rPr>
                <w:bCs/>
                <w:color w:val="auto"/>
                <w:sz w:val="18"/>
                <w:szCs w:val="24"/>
                <w:highlight w:val="none"/>
              </w:rPr>
            </w:pPr>
            <w:r>
              <w:rPr>
                <w:rFonts w:hint="eastAsia"/>
                <w:bCs/>
                <w:color w:val="auto"/>
                <w:sz w:val="18"/>
                <w:szCs w:val="24"/>
                <w:highlight w:val="none"/>
              </w:rPr>
              <w:t>企业法人性别（QD19）</w:t>
            </w:r>
            <w:r>
              <w:rPr>
                <w:rFonts w:hint="eastAsia"/>
                <w:bCs/>
                <w:color w:val="auto"/>
                <w:sz w:val="18"/>
                <w:szCs w:val="18"/>
                <w:highlight w:val="none"/>
              </w:rPr>
              <w:t>□</w:t>
            </w:r>
            <w:r>
              <w:rPr>
                <w:rFonts w:hint="eastAsia"/>
                <w:bCs/>
                <w:color w:val="auto"/>
                <w:sz w:val="18"/>
                <w:szCs w:val="24"/>
                <w:highlight w:val="none"/>
              </w:rPr>
              <w:t xml:space="preserve">  1.男  2.女</w:t>
            </w:r>
          </w:p>
          <w:p w14:paraId="363C7AB0">
            <w:pPr>
              <w:spacing w:line="280" w:lineRule="exact"/>
              <w:rPr>
                <w:bCs/>
                <w:color w:val="auto"/>
                <w:sz w:val="18"/>
                <w:szCs w:val="24"/>
                <w:highlight w:val="none"/>
              </w:rPr>
            </w:pPr>
            <w:r>
              <w:rPr>
                <w:rFonts w:hint="eastAsia"/>
                <w:bCs/>
                <w:color w:val="auto"/>
                <w:sz w:val="18"/>
                <w:szCs w:val="24"/>
                <w:highlight w:val="none"/>
              </w:rPr>
              <w:t xml:space="preserve">出生年份(QD20)           </w:t>
            </w:r>
            <w:r>
              <w:rPr>
                <w:rFonts w:hint="eastAsia"/>
                <w:bCs/>
                <w:color w:val="auto"/>
                <w:sz w:val="18"/>
                <w:szCs w:val="18"/>
                <w:highlight w:val="none"/>
              </w:rPr>
              <w:t>□□□□</w:t>
            </w:r>
            <w:r>
              <w:rPr>
                <w:rFonts w:hint="eastAsia"/>
                <w:bCs/>
                <w:color w:val="auto"/>
                <w:sz w:val="18"/>
                <w:szCs w:val="24"/>
                <w:highlight w:val="none"/>
              </w:rPr>
              <w:t>年</w:t>
            </w:r>
          </w:p>
          <w:p w14:paraId="1294D55D">
            <w:pPr>
              <w:snapToGrid w:val="0"/>
              <w:spacing w:line="280" w:lineRule="exact"/>
              <w:rPr>
                <w:rFonts w:ascii="Times New Roman" w:hAnsi="Times New Roman"/>
                <w:bCs/>
                <w:color w:val="auto"/>
                <w:sz w:val="18"/>
                <w:szCs w:val="18"/>
                <w:highlight w:val="none"/>
              </w:rPr>
            </w:pPr>
            <w:r>
              <w:rPr>
                <w:rFonts w:hint="eastAsia"/>
                <w:bCs/>
                <w:color w:val="auto"/>
                <w:sz w:val="18"/>
                <w:szCs w:val="24"/>
                <w:highlight w:val="none"/>
              </w:rPr>
              <w:t>学历(QD22)□11.博士12.硕士2.本科3.大专4.其他</w:t>
            </w:r>
          </w:p>
        </w:tc>
      </w:tr>
      <w:tr w14:paraId="18869B4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2" w:space="0"/>
              <w:right w:val="single" w:color="auto" w:sz="2" w:space="0"/>
            </w:tcBorders>
            <w:shd w:val="clear" w:color="auto" w:fill="D9D9D9"/>
            <w:noWrap w:val="0"/>
            <w:vAlign w:val="center"/>
          </w:tcPr>
          <w:p w14:paraId="3FC9C91E">
            <w:pPr>
              <w:snapToGrid w:val="0"/>
              <w:spacing w:line="280" w:lineRule="exact"/>
              <w:jc w:val="center"/>
              <w:rPr>
                <w:bCs/>
                <w:color w:val="auto"/>
                <w:sz w:val="18"/>
                <w:szCs w:val="18"/>
                <w:highlight w:val="none"/>
              </w:rPr>
            </w:pPr>
            <w:r>
              <w:rPr>
                <w:bCs/>
                <w:color w:val="auto"/>
                <w:sz w:val="18"/>
                <w:szCs w:val="18"/>
                <w:highlight w:val="none"/>
              </w:rPr>
              <w:t>QB21</w:t>
            </w:r>
          </w:p>
          <w:p w14:paraId="175FE793">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QB22</w:t>
            </w:r>
          </w:p>
        </w:tc>
        <w:tc>
          <w:tcPr>
            <w:tcW w:w="8940" w:type="dxa"/>
            <w:gridSpan w:val="4"/>
            <w:tcBorders>
              <w:top w:val="single" w:color="auto" w:sz="4" w:space="0"/>
              <w:left w:val="single" w:color="auto" w:sz="2" w:space="0"/>
              <w:bottom w:val="single" w:color="auto" w:sz="2" w:space="0"/>
              <w:right w:val="nil"/>
            </w:tcBorders>
            <w:shd w:val="clear" w:color="auto" w:fill="D9D9D9"/>
            <w:noWrap w:val="0"/>
            <w:vAlign w:val="center"/>
          </w:tcPr>
          <w:p w14:paraId="10276B5D">
            <w:pPr>
              <w:spacing w:line="280" w:lineRule="exact"/>
              <w:rPr>
                <w:rFonts w:ascii="宋体" w:hAnsi="宋体" w:cs="宋体"/>
                <w:bCs/>
                <w:color w:val="auto"/>
                <w:sz w:val="18"/>
                <w:szCs w:val="18"/>
                <w:highlight w:val="none"/>
              </w:rPr>
            </w:pPr>
            <w:r>
              <w:rPr>
                <w:rFonts w:hint="eastAsia" w:ascii="宋体" w:hAnsi="宋体" w:cs="宋体"/>
                <w:bCs/>
                <w:color w:val="auto"/>
                <w:sz w:val="18"/>
                <w:szCs w:val="18"/>
                <w:highlight w:val="none"/>
              </w:rPr>
              <w:t>企业是否进入国家自主创新示范区（</w:t>
            </w:r>
            <w:r>
              <w:rPr>
                <w:rFonts w:ascii="宋体" w:hAnsi="宋体" w:cs="宋体"/>
                <w:bCs/>
                <w:color w:val="auto"/>
                <w:sz w:val="18"/>
                <w:szCs w:val="18"/>
                <w:highlight w:val="none"/>
              </w:rPr>
              <w:t xml:space="preserve">QB21）   </w:t>
            </w:r>
            <w:r>
              <w:rPr>
                <w:rFonts w:hint="eastAsia" w:ascii="宋体" w:hAnsi="宋体" w:cs="宋体"/>
                <w:bCs/>
                <w:color w:val="auto"/>
                <w:sz w:val="18"/>
                <w:szCs w:val="18"/>
                <w:highlight w:val="none"/>
              </w:rPr>
              <w:t>□</w:t>
            </w:r>
            <w:r>
              <w:rPr>
                <w:rFonts w:ascii="宋体" w:hAnsi="宋体" w:cs="宋体"/>
                <w:bCs/>
                <w:color w:val="auto"/>
                <w:sz w:val="18"/>
                <w:szCs w:val="18"/>
                <w:highlight w:val="none"/>
              </w:rPr>
              <w:t xml:space="preserve">      1.是  2.否</w:t>
            </w:r>
          </w:p>
          <w:p w14:paraId="05396141">
            <w:pPr>
              <w:spacing w:line="280" w:lineRule="exact"/>
              <w:rPr>
                <w:rFonts w:ascii="Times New Roman" w:hAnsi="Times New Roman"/>
                <w:bCs/>
                <w:color w:val="auto"/>
                <w:sz w:val="18"/>
                <w:szCs w:val="18"/>
                <w:highlight w:val="none"/>
              </w:rPr>
            </w:pPr>
            <w:r>
              <w:rPr>
                <w:rFonts w:hint="eastAsia" w:ascii="宋体" w:hAnsi="宋体"/>
                <w:bCs/>
                <w:color w:val="auto"/>
                <w:sz w:val="18"/>
                <w:szCs w:val="24"/>
                <w:highlight w:val="none"/>
              </w:rPr>
              <w:t>如是，请选择所在自主创新示范区名称</w:t>
            </w:r>
            <w:r>
              <w:rPr>
                <w:rFonts w:hint="eastAsia" w:ascii="宋体" w:hAnsi="宋体" w:cs="宋体"/>
                <w:bCs/>
                <w:color w:val="auto"/>
                <w:sz w:val="18"/>
                <w:szCs w:val="18"/>
                <w:highlight w:val="none"/>
              </w:rPr>
              <w:t>（</w:t>
            </w:r>
            <w:r>
              <w:rPr>
                <w:rFonts w:ascii="宋体" w:hAnsi="宋体" w:cs="宋体"/>
                <w:bCs/>
                <w:color w:val="auto"/>
                <w:sz w:val="18"/>
                <w:szCs w:val="18"/>
                <w:highlight w:val="none"/>
              </w:rPr>
              <w:t xml:space="preserve">QB22）  </w:t>
            </w:r>
          </w:p>
        </w:tc>
      </w:tr>
      <w:tr w14:paraId="12A15A9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2" w:space="0"/>
              <w:right w:val="single" w:color="auto" w:sz="2" w:space="0"/>
            </w:tcBorders>
            <w:shd w:val="clear" w:color="auto" w:fill="D9D9D9"/>
            <w:noWrap w:val="0"/>
            <w:vAlign w:val="center"/>
          </w:tcPr>
          <w:p w14:paraId="4C174A69">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QA12</w:t>
            </w:r>
          </w:p>
        </w:tc>
        <w:tc>
          <w:tcPr>
            <w:tcW w:w="8940" w:type="dxa"/>
            <w:gridSpan w:val="4"/>
            <w:tcBorders>
              <w:top w:val="single" w:color="auto" w:sz="4" w:space="0"/>
              <w:left w:val="single" w:color="auto" w:sz="2" w:space="0"/>
              <w:bottom w:val="single" w:color="auto" w:sz="2" w:space="0"/>
              <w:right w:val="nil"/>
            </w:tcBorders>
            <w:shd w:val="clear" w:color="auto" w:fill="D9D9D9"/>
            <w:noWrap w:val="0"/>
            <w:vAlign w:val="center"/>
          </w:tcPr>
          <w:p w14:paraId="5916CCF0">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填报时间□□□□-□□-□□（由系统自动生成）</w:t>
            </w:r>
          </w:p>
        </w:tc>
      </w:tr>
      <w:tr w14:paraId="02A493B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2" w:space="0"/>
              <w:left w:val="nil"/>
              <w:bottom w:val="single" w:color="auto" w:sz="4" w:space="0"/>
              <w:right w:val="single" w:color="auto" w:sz="2" w:space="0"/>
            </w:tcBorders>
            <w:noWrap w:val="0"/>
            <w:vAlign w:val="center"/>
          </w:tcPr>
          <w:p w14:paraId="421261A5">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QB101</w:t>
            </w:r>
          </w:p>
        </w:tc>
        <w:tc>
          <w:tcPr>
            <w:tcW w:w="8940" w:type="dxa"/>
            <w:gridSpan w:val="4"/>
            <w:tcBorders>
              <w:top w:val="single" w:color="auto" w:sz="2" w:space="0"/>
              <w:left w:val="single" w:color="auto" w:sz="2" w:space="0"/>
              <w:bottom w:val="single" w:color="auto" w:sz="4" w:space="0"/>
              <w:right w:val="nil"/>
            </w:tcBorders>
            <w:noWrap w:val="0"/>
            <w:vAlign w:val="center"/>
          </w:tcPr>
          <w:p w14:paraId="71485A30">
            <w:pPr>
              <w:snapToGrid w:val="0"/>
              <w:spacing w:line="280" w:lineRule="exact"/>
              <w:jc w:val="left"/>
              <w:rPr>
                <w:rFonts w:hint="eastAsia" w:eastAsia="宋体"/>
                <w:bCs/>
                <w:color w:val="auto"/>
                <w:sz w:val="18"/>
                <w:szCs w:val="18"/>
                <w:highlight w:val="none"/>
                <w:lang w:eastAsia="zh-CN"/>
              </w:rPr>
            </w:pPr>
            <w:r>
              <w:rPr>
                <w:rFonts w:hint="eastAsia"/>
                <w:bCs/>
                <w:color w:val="auto"/>
                <w:sz w:val="18"/>
                <w:szCs w:val="18"/>
                <w:highlight w:val="none"/>
              </w:rPr>
              <w:t>企业隶属关系：□□</w:t>
            </w:r>
          </w:p>
          <w:p w14:paraId="268E88B7">
            <w:pPr>
              <w:spacing w:line="280" w:lineRule="exact"/>
              <w:rPr>
                <w:rFonts w:ascii="Times New Roman" w:hAnsi="Times New Roman"/>
                <w:bCs/>
                <w:color w:val="auto"/>
                <w:sz w:val="18"/>
                <w:szCs w:val="18"/>
                <w:highlight w:val="none"/>
              </w:rPr>
            </w:pPr>
            <w:r>
              <w:rPr>
                <w:rFonts w:hint="eastAsia"/>
                <w:bCs/>
                <w:color w:val="auto"/>
                <w:sz w:val="18"/>
                <w:szCs w:val="18"/>
                <w:highlight w:val="none"/>
              </w:rPr>
              <w:t>10 中央       11 地方       90 其他</w:t>
            </w:r>
          </w:p>
        </w:tc>
      </w:tr>
      <w:tr w14:paraId="4B663C01">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64A1826F">
            <w:pPr>
              <w:snapToGrid w:val="0"/>
              <w:spacing w:line="280" w:lineRule="exact"/>
              <w:ind w:firstLine="0" w:firstLineChars="0"/>
              <w:rPr>
                <w:bCs/>
                <w:color w:val="auto"/>
                <w:sz w:val="18"/>
                <w:szCs w:val="18"/>
                <w:highlight w:val="none"/>
              </w:rPr>
            </w:pPr>
            <w:r>
              <w:rPr>
                <w:bCs/>
                <w:color w:val="auto"/>
                <w:sz w:val="18"/>
                <w:szCs w:val="18"/>
                <w:highlight w:val="none"/>
              </w:rPr>
              <w:t>QB03_0</w:t>
            </w:r>
          </w:p>
          <w:p w14:paraId="5C415D16">
            <w:pPr>
              <w:snapToGrid w:val="0"/>
              <w:spacing w:line="280" w:lineRule="exact"/>
              <w:rPr>
                <w:bCs/>
                <w:color w:val="auto"/>
                <w:sz w:val="18"/>
                <w:szCs w:val="18"/>
                <w:highlight w:val="none"/>
              </w:rPr>
            </w:pPr>
          </w:p>
          <w:p w14:paraId="6F0FD429">
            <w:pPr>
              <w:snapToGrid w:val="0"/>
              <w:spacing w:line="280" w:lineRule="exact"/>
              <w:rPr>
                <w:bCs/>
                <w:color w:val="auto"/>
                <w:sz w:val="18"/>
                <w:szCs w:val="18"/>
                <w:highlight w:val="none"/>
              </w:rPr>
            </w:pPr>
          </w:p>
          <w:p w14:paraId="38A0E4A8">
            <w:pPr>
              <w:snapToGrid w:val="0"/>
              <w:spacing w:line="280" w:lineRule="exact"/>
              <w:rPr>
                <w:rFonts w:ascii="Times New Roman" w:hAnsi="Times New Roman"/>
                <w:bCs/>
                <w:color w:val="auto"/>
                <w:sz w:val="18"/>
                <w:szCs w:val="18"/>
                <w:highlight w:val="none"/>
              </w:rPr>
            </w:pPr>
            <w:r>
              <w:rPr>
                <w:bCs/>
                <w:color w:val="auto"/>
                <w:sz w:val="18"/>
                <w:szCs w:val="18"/>
                <w:highlight w:val="none"/>
              </w:rPr>
              <w:t>QB03_1</w:t>
            </w:r>
          </w:p>
        </w:tc>
        <w:tc>
          <w:tcPr>
            <w:tcW w:w="8940" w:type="dxa"/>
            <w:gridSpan w:val="4"/>
            <w:tcBorders>
              <w:top w:val="single" w:color="auto" w:sz="4" w:space="0"/>
              <w:left w:val="single" w:color="auto" w:sz="2" w:space="0"/>
              <w:bottom w:val="single" w:color="auto" w:sz="4" w:space="0"/>
              <w:right w:val="nil"/>
            </w:tcBorders>
            <w:noWrap w:val="0"/>
            <w:vAlign w:val="center"/>
          </w:tcPr>
          <w:p w14:paraId="6A2C62EB">
            <w:pPr>
              <w:spacing w:line="280" w:lineRule="exact"/>
              <w:rPr>
                <w:bCs/>
                <w:color w:val="auto"/>
                <w:sz w:val="18"/>
                <w:szCs w:val="18"/>
                <w:highlight w:val="none"/>
              </w:rPr>
            </w:pPr>
            <w:r>
              <w:rPr>
                <w:rFonts w:hint="eastAsia"/>
                <w:bCs/>
                <w:color w:val="auto"/>
                <w:sz w:val="18"/>
                <w:szCs w:val="18"/>
                <w:highlight w:val="none"/>
              </w:rPr>
              <w:t>行业类别和代码</w:t>
            </w:r>
          </w:p>
          <w:p w14:paraId="2AAB8D06">
            <w:pPr>
              <w:snapToGrid w:val="0"/>
              <w:spacing w:line="280" w:lineRule="exact"/>
              <w:rPr>
                <w:bCs/>
                <w:color w:val="auto"/>
                <w:sz w:val="18"/>
                <w:szCs w:val="18"/>
                <w:highlight w:val="none"/>
              </w:rPr>
            </w:pPr>
            <w:r>
              <w:rPr>
                <w:rFonts w:hint="eastAsia"/>
                <w:bCs/>
                <w:color w:val="auto"/>
                <w:sz w:val="18"/>
                <w:szCs w:val="18"/>
                <w:highlight w:val="none"/>
              </w:rPr>
              <w:t>主要业务活动或主要产品（QB03_0）（请选择最主要的三项填报）</w:t>
            </w:r>
          </w:p>
          <w:p w14:paraId="11E31D20">
            <w:pPr>
              <w:snapToGrid w:val="0"/>
              <w:spacing w:line="280" w:lineRule="exact"/>
              <w:rPr>
                <w:bCs/>
                <w:color w:val="auto"/>
                <w:sz w:val="18"/>
                <w:szCs w:val="18"/>
                <w:highlight w:val="none"/>
                <w:u w:val="single"/>
              </w:rPr>
            </w:pPr>
            <w:r>
              <w:rPr>
                <w:rFonts w:hint="eastAsia"/>
                <w:bCs/>
                <w:color w:val="auto"/>
                <w:sz w:val="18"/>
                <w:szCs w:val="18"/>
                <w:highlight w:val="none"/>
              </w:rPr>
              <w:t>1（QB03_01）    2（QB03_02）   3（QB03_03）</w:t>
            </w:r>
          </w:p>
          <w:p w14:paraId="228FB65B">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行业代码（QB03_1）根据国民经济行业分类</w:t>
            </w:r>
            <w:r>
              <w:rPr>
                <w:rFonts w:hint="eastAsia" w:ascii="宋体" w:hAnsi="宋体" w:eastAsia="宋体"/>
                <w:bCs/>
                <w:color w:val="auto"/>
                <w:sz w:val="18"/>
                <w:szCs w:val="18"/>
                <w:highlight w:val="none"/>
              </w:rPr>
              <w:t>(</w:t>
            </w:r>
            <w:r>
              <w:rPr>
                <w:rFonts w:hint="eastAsia"/>
                <w:bCs/>
                <w:color w:val="auto"/>
                <w:sz w:val="18"/>
                <w:szCs w:val="18"/>
                <w:highlight w:val="none"/>
              </w:rPr>
              <w:t>GB/T</w:t>
            </w:r>
            <w:r>
              <w:rPr>
                <w:bCs/>
                <w:color w:val="auto"/>
                <w:sz w:val="18"/>
                <w:szCs w:val="18"/>
                <w:highlight w:val="none"/>
              </w:rPr>
              <w:t xml:space="preserve"> 4754-2017</w:t>
            </w:r>
            <w:r>
              <w:rPr>
                <w:rFonts w:ascii="宋体" w:hAnsi="宋体" w:eastAsia="宋体"/>
                <w:bCs/>
                <w:color w:val="auto"/>
                <w:sz w:val="18"/>
                <w:szCs w:val="18"/>
                <w:highlight w:val="none"/>
              </w:rPr>
              <w:t>)</w:t>
            </w:r>
            <w:r>
              <w:rPr>
                <w:bCs/>
                <w:color w:val="auto"/>
                <w:sz w:val="18"/>
                <w:szCs w:val="18"/>
                <w:highlight w:val="none"/>
              </w:rPr>
              <w:t xml:space="preserve"> </w:t>
            </w:r>
            <w:r>
              <w:rPr>
                <w:rFonts w:hint="eastAsia"/>
                <w:bCs/>
                <w:color w:val="auto"/>
                <w:sz w:val="18"/>
                <w:szCs w:val="18"/>
                <w:highlight w:val="none"/>
              </w:rPr>
              <w:t>进行划分□□□□</w:t>
            </w:r>
          </w:p>
        </w:tc>
      </w:tr>
      <w:tr w14:paraId="6AE1B41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55B68D58">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QB20_1</w:t>
            </w:r>
          </w:p>
        </w:tc>
        <w:tc>
          <w:tcPr>
            <w:tcW w:w="8940" w:type="dxa"/>
            <w:gridSpan w:val="4"/>
            <w:tcBorders>
              <w:top w:val="single" w:color="auto" w:sz="4" w:space="0"/>
              <w:left w:val="single" w:color="auto" w:sz="2" w:space="0"/>
              <w:bottom w:val="single" w:color="auto" w:sz="4" w:space="0"/>
              <w:right w:val="nil"/>
            </w:tcBorders>
            <w:noWrap w:val="0"/>
            <w:vAlign w:val="center"/>
          </w:tcPr>
          <w:p w14:paraId="599BB7B2">
            <w:pPr>
              <w:snapToGrid w:val="0"/>
              <w:spacing w:line="280" w:lineRule="exact"/>
              <w:rPr>
                <w:bCs/>
                <w:color w:val="auto"/>
                <w:sz w:val="18"/>
                <w:szCs w:val="18"/>
                <w:highlight w:val="none"/>
              </w:rPr>
            </w:pPr>
            <w:r>
              <w:rPr>
                <w:rFonts w:hint="eastAsia"/>
                <w:bCs/>
                <w:color w:val="auto"/>
                <w:sz w:val="18"/>
                <w:szCs w:val="18"/>
                <w:highlight w:val="none"/>
              </w:rPr>
              <w:t>执行会计标准类别</w:t>
            </w:r>
            <w:r>
              <w:rPr>
                <w:rFonts w:hint="eastAsia" w:ascii="宋体" w:hAnsi="宋体" w:eastAsia="宋体"/>
                <w:bCs/>
                <w:color w:val="auto"/>
                <w:sz w:val="18"/>
                <w:szCs w:val="18"/>
                <w:highlight w:val="none"/>
              </w:rPr>
              <w:t>(</w:t>
            </w:r>
            <w:r>
              <w:rPr>
                <w:bCs/>
                <w:color w:val="auto"/>
                <w:sz w:val="18"/>
                <w:szCs w:val="18"/>
                <w:highlight w:val="none"/>
              </w:rPr>
              <w:t>QB20_1</w:t>
            </w:r>
            <w:r>
              <w:rPr>
                <w:rFonts w:hint="eastAsia" w:ascii="宋体" w:hAnsi="宋体" w:eastAsia="宋体"/>
                <w:bCs/>
                <w:color w:val="auto"/>
                <w:sz w:val="18"/>
                <w:szCs w:val="18"/>
                <w:highlight w:val="none"/>
              </w:rPr>
              <w:t>)</w:t>
            </w:r>
            <w:r>
              <w:rPr>
                <w:rFonts w:hint="eastAsia"/>
                <w:bCs/>
                <w:color w:val="auto"/>
                <w:sz w:val="18"/>
                <w:szCs w:val="18"/>
                <w:highlight w:val="none"/>
              </w:rPr>
              <w:t>□</w:t>
            </w:r>
          </w:p>
          <w:p w14:paraId="4D00DCCC">
            <w:pPr>
              <w:snapToGrid w:val="0"/>
              <w:spacing w:line="280" w:lineRule="exact"/>
              <w:jc w:val="left"/>
              <w:rPr>
                <w:rFonts w:ascii="Times New Roman" w:hAnsi="Times New Roman"/>
                <w:bCs/>
                <w:color w:val="auto"/>
                <w:sz w:val="18"/>
                <w:szCs w:val="18"/>
                <w:highlight w:val="none"/>
              </w:rPr>
            </w:pPr>
            <w:r>
              <w:rPr>
                <w:bCs/>
                <w:color w:val="auto"/>
                <w:sz w:val="18"/>
                <w:szCs w:val="18"/>
                <w:highlight w:val="none"/>
              </w:rPr>
              <w:t xml:space="preserve">1 </w:t>
            </w:r>
            <w:r>
              <w:rPr>
                <w:rFonts w:hint="eastAsia"/>
                <w:bCs/>
                <w:color w:val="auto"/>
                <w:sz w:val="18"/>
                <w:szCs w:val="18"/>
                <w:highlight w:val="none"/>
              </w:rPr>
              <w:t>企业会计准则制度</w:t>
            </w:r>
            <w:r>
              <w:rPr>
                <w:bCs/>
                <w:color w:val="auto"/>
                <w:sz w:val="18"/>
                <w:szCs w:val="18"/>
                <w:highlight w:val="none"/>
              </w:rPr>
              <w:t xml:space="preserve">    2 </w:t>
            </w:r>
            <w:r>
              <w:rPr>
                <w:rFonts w:hint="eastAsia"/>
                <w:bCs/>
                <w:color w:val="auto"/>
                <w:sz w:val="18"/>
                <w:szCs w:val="18"/>
                <w:highlight w:val="none"/>
              </w:rPr>
              <w:t>政府会计准则制度</w:t>
            </w:r>
            <w:r>
              <w:rPr>
                <w:bCs/>
                <w:color w:val="auto"/>
                <w:sz w:val="18"/>
                <w:szCs w:val="18"/>
                <w:highlight w:val="none"/>
              </w:rPr>
              <w:t xml:space="preserve">    4 </w:t>
            </w:r>
            <w:r>
              <w:rPr>
                <w:rFonts w:hint="eastAsia"/>
                <w:bCs/>
                <w:color w:val="auto"/>
                <w:sz w:val="18"/>
                <w:szCs w:val="18"/>
                <w:highlight w:val="none"/>
              </w:rPr>
              <w:t>民间非营利组织会计制度</w:t>
            </w:r>
            <w:r>
              <w:rPr>
                <w:bCs/>
                <w:color w:val="auto"/>
                <w:sz w:val="18"/>
                <w:szCs w:val="18"/>
                <w:highlight w:val="none"/>
              </w:rPr>
              <w:t xml:space="preserve">    9 </w:t>
            </w:r>
            <w:r>
              <w:rPr>
                <w:rFonts w:hint="eastAsia"/>
                <w:bCs/>
                <w:color w:val="auto"/>
                <w:sz w:val="18"/>
                <w:szCs w:val="18"/>
                <w:highlight w:val="none"/>
              </w:rPr>
              <w:t>其他</w:t>
            </w:r>
          </w:p>
        </w:tc>
      </w:tr>
      <w:tr w14:paraId="190AFFE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8" w:space="0"/>
              <w:right w:val="single" w:color="auto" w:sz="2" w:space="0"/>
            </w:tcBorders>
            <w:noWrap w:val="0"/>
            <w:vAlign w:val="center"/>
          </w:tcPr>
          <w:p w14:paraId="0943565C">
            <w:pPr>
              <w:snapToGrid w:val="0"/>
              <w:spacing w:line="280" w:lineRule="exact"/>
              <w:jc w:val="center"/>
              <w:rPr>
                <w:bCs/>
                <w:color w:val="auto"/>
                <w:sz w:val="18"/>
                <w:szCs w:val="18"/>
                <w:highlight w:val="none"/>
              </w:rPr>
            </w:pPr>
            <w:r>
              <w:rPr>
                <w:bCs/>
                <w:color w:val="auto"/>
                <w:sz w:val="18"/>
                <w:szCs w:val="18"/>
                <w:highlight w:val="none"/>
              </w:rPr>
              <w:t>QB20</w:t>
            </w:r>
          </w:p>
        </w:tc>
        <w:tc>
          <w:tcPr>
            <w:tcW w:w="8940" w:type="dxa"/>
            <w:gridSpan w:val="4"/>
            <w:tcBorders>
              <w:top w:val="single" w:color="auto" w:sz="4" w:space="0"/>
              <w:left w:val="single" w:color="auto" w:sz="2" w:space="0"/>
              <w:bottom w:val="single" w:color="auto" w:sz="8" w:space="0"/>
              <w:right w:val="nil"/>
            </w:tcBorders>
            <w:noWrap w:val="0"/>
            <w:vAlign w:val="center"/>
          </w:tcPr>
          <w:p w14:paraId="1D95FC19">
            <w:pPr>
              <w:snapToGrid w:val="0"/>
              <w:spacing w:line="280" w:lineRule="exact"/>
              <w:rPr>
                <w:bCs/>
                <w:color w:val="auto"/>
                <w:sz w:val="18"/>
                <w:szCs w:val="18"/>
                <w:highlight w:val="none"/>
              </w:rPr>
            </w:pPr>
            <w:r>
              <w:rPr>
                <w:rFonts w:hint="eastAsia"/>
                <w:bCs/>
                <w:color w:val="auto"/>
                <w:sz w:val="18"/>
                <w:szCs w:val="18"/>
                <w:highlight w:val="none"/>
              </w:rPr>
              <w:t>执行企业会计准则情况□</w:t>
            </w:r>
          </w:p>
          <w:p w14:paraId="6CB55930">
            <w:pPr>
              <w:numPr>
                <w:ilvl w:val="0"/>
                <w:numId w:val="0"/>
              </w:numPr>
              <w:snapToGrid w:val="0"/>
              <w:spacing w:line="280" w:lineRule="exact"/>
              <w:ind w:left="0" w:leftChars="0" w:firstLine="0" w:firstLineChars="0"/>
              <w:rPr>
                <w:bCs/>
                <w:color w:val="auto"/>
                <w:sz w:val="18"/>
                <w:szCs w:val="18"/>
                <w:highlight w:val="none"/>
              </w:rPr>
            </w:pPr>
            <w:r>
              <w:rPr>
                <w:rFonts w:hint="eastAsia"/>
                <w:bCs/>
                <w:color w:val="auto"/>
                <w:sz w:val="18"/>
                <w:szCs w:val="18"/>
                <w:highlight w:val="none"/>
                <w:lang w:val="en-US" w:eastAsia="zh-CN"/>
              </w:rPr>
              <w:t xml:space="preserve">1 </w:t>
            </w:r>
            <w:r>
              <w:rPr>
                <w:rFonts w:hint="eastAsia"/>
                <w:bCs/>
                <w:color w:val="auto"/>
                <w:sz w:val="18"/>
                <w:szCs w:val="18"/>
                <w:highlight w:val="none"/>
              </w:rPr>
              <w:t xml:space="preserve">执行《企业会计准则》    </w:t>
            </w:r>
            <w:r>
              <w:rPr>
                <w:rFonts w:hint="eastAsia"/>
                <w:bCs/>
                <w:color w:val="auto"/>
                <w:sz w:val="18"/>
                <w:szCs w:val="18"/>
                <w:highlight w:val="none"/>
                <w:lang w:eastAsia="zh-CN"/>
              </w:rPr>
              <w:t>2</w:t>
            </w:r>
            <w:r>
              <w:rPr>
                <w:rFonts w:hint="eastAsia"/>
                <w:bCs/>
                <w:color w:val="auto"/>
                <w:sz w:val="18"/>
                <w:szCs w:val="18"/>
                <w:highlight w:val="none"/>
                <w:lang w:val="en-US" w:eastAsia="zh-CN"/>
              </w:rPr>
              <w:t xml:space="preserve"> </w:t>
            </w:r>
            <w:r>
              <w:rPr>
                <w:rFonts w:hint="eastAsia"/>
                <w:bCs/>
                <w:color w:val="auto"/>
                <w:sz w:val="18"/>
                <w:szCs w:val="18"/>
                <w:highlight w:val="none"/>
              </w:rPr>
              <w:t xml:space="preserve">执行《小企业会计准则》 </w:t>
            </w:r>
            <w:r>
              <w:rPr>
                <w:rFonts w:hint="eastAsia"/>
                <w:bCs/>
                <w:color w:val="auto"/>
                <w:sz w:val="18"/>
                <w:szCs w:val="18"/>
                <w:highlight w:val="none"/>
                <w:lang w:val="en-US" w:eastAsia="zh-CN"/>
              </w:rPr>
              <w:t xml:space="preserve">   </w:t>
            </w:r>
            <w:r>
              <w:rPr>
                <w:rFonts w:hint="eastAsia" w:ascii="Nimbus Roman No9 L" w:hAnsi="Nimbus Roman No9 L" w:cs="Nimbus Roman No9 L"/>
                <w:color w:val="auto"/>
                <w:sz w:val="18"/>
                <w:szCs w:val="18"/>
                <w:highlight w:val="none"/>
              </w:rPr>
              <w:t>3</w:t>
            </w:r>
            <w:r>
              <w:rPr>
                <w:rFonts w:ascii="Nimbus Roman No9 L" w:hAnsi="Nimbus Roman No9 L" w:cs="Nimbus Roman No9 L"/>
                <w:color w:val="auto"/>
                <w:sz w:val="18"/>
                <w:szCs w:val="18"/>
                <w:highlight w:val="none"/>
              </w:rPr>
              <w:t xml:space="preserve"> </w:t>
            </w:r>
            <w:r>
              <w:rPr>
                <w:rFonts w:hint="eastAsia" w:ascii="Nimbus Roman No9 L" w:hAnsi="Nimbus Roman No9 L" w:cs="Nimbus Roman No9 L"/>
                <w:color w:val="auto"/>
                <w:sz w:val="18"/>
                <w:szCs w:val="18"/>
                <w:highlight w:val="none"/>
              </w:rPr>
              <w:t>执行《企业会计制度》</w:t>
            </w:r>
          </w:p>
        </w:tc>
      </w:tr>
    </w:tbl>
    <w:p w14:paraId="0DCEBFBA">
      <w:pPr>
        <w:rPr>
          <w:color w:val="auto"/>
          <w:highlight w:val="none"/>
        </w:rPr>
      </w:pPr>
    </w:p>
    <w:p w14:paraId="761E2914">
      <w:pPr>
        <w:snapToGrid w:val="0"/>
        <w:spacing w:line="240" w:lineRule="exact"/>
        <w:rPr>
          <w:rFonts w:hint="eastAsia" w:ascii="Times New Roman" w:hAnsi="Times New Roman" w:eastAsia="宋体" w:cs="Times New Roman"/>
          <w:bCs/>
          <w:color w:val="auto"/>
          <w:sz w:val="18"/>
          <w:szCs w:val="18"/>
          <w:highlight w:val="none"/>
          <w:lang w:eastAsia="zh-CN"/>
        </w:rPr>
      </w:pPr>
      <w:r>
        <w:rPr>
          <w:rFonts w:hint="eastAsia" w:ascii="Times New Roman" w:hAnsi="Times New Roman" w:eastAsia="宋体" w:cs="Times New Roman"/>
          <w:bCs/>
          <w:color w:val="auto"/>
          <w:sz w:val="18"/>
          <w:szCs w:val="18"/>
          <w:highlight w:val="none"/>
          <w:lang w:eastAsia="zh-CN"/>
        </w:rPr>
        <w:t>续表一：</w:t>
      </w:r>
    </w:p>
    <w:tbl>
      <w:tblPr>
        <w:tblStyle w:val="34"/>
        <w:tblW w:w="9855"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881"/>
        <w:gridCol w:w="8974"/>
      </w:tblGrid>
      <w:tr w14:paraId="7758448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000000" w:sz="8" w:space="0"/>
              <w:left w:val="nil"/>
              <w:bottom w:val="single" w:color="000000" w:sz="4" w:space="0"/>
              <w:right w:val="single" w:color="auto" w:sz="2" w:space="0"/>
            </w:tcBorders>
            <w:shd w:val="clear" w:color="auto" w:fill="D9D9D9"/>
            <w:noWrap w:val="0"/>
            <w:vAlign w:val="center"/>
          </w:tcPr>
          <w:p w14:paraId="22A9BE16">
            <w:pPr>
              <w:snapToGrid w:val="0"/>
              <w:spacing w:line="280" w:lineRule="exact"/>
              <w:jc w:val="center"/>
              <w:rPr>
                <w:bCs/>
                <w:color w:val="auto"/>
                <w:sz w:val="18"/>
                <w:szCs w:val="18"/>
                <w:highlight w:val="none"/>
              </w:rPr>
            </w:pPr>
            <w:r>
              <w:rPr>
                <w:bCs/>
                <w:color w:val="auto"/>
                <w:sz w:val="18"/>
                <w:szCs w:val="18"/>
                <w:highlight w:val="none"/>
              </w:rPr>
              <w:t>QB04</w:t>
            </w:r>
          </w:p>
          <w:p w14:paraId="3EE423A0">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QB04_0</w:t>
            </w:r>
          </w:p>
        </w:tc>
        <w:tc>
          <w:tcPr>
            <w:tcW w:w="8974" w:type="dxa"/>
            <w:tcBorders>
              <w:top w:val="single" w:color="000000" w:sz="8" w:space="0"/>
              <w:left w:val="single" w:color="auto" w:sz="2" w:space="0"/>
              <w:bottom w:val="single" w:color="000000" w:sz="4" w:space="0"/>
              <w:right w:val="nil"/>
            </w:tcBorders>
            <w:shd w:val="clear" w:color="auto" w:fill="D9D9D9"/>
            <w:noWrap w:val="0"/>
            <w:vAlign w:val="center"/>
          </w:tcPr>
          <w:p w14:paraId="76C9FA02">
            <w:pPr>
              <w:snapToGrid w:val="0"/>
              <w:spacing w:line="280" w:lineRule="exact"/>
              <w:jc w:val="left"/>
              <w:rPr>
                <w:rFonts w:ascii="宋体" w:hAnsi="宋体"/>
                <w:bCs/>
                <w:color w:val="auto"/>
                <w:sz w:val="18"/>
                <w:szCs w:val="18"/>
                <w:highlight w:val="none"/>
                <w:u w:val="single"/>
              </w:rPr>
            </w:pPr>
            <w:r>
              <w:rPr>
                <w:rFonts w:hint="eastAsia" w:ascii="宋体" w:hAnsi="宋体"/>
                <w:bCs/>
                <w:color w:val="auto"/>
                <w:sz w:val="18"/>
                <w:szCs w:val="18"/>
                <w:highlight w:val="none"/>
              </w:rPr>
              <w:t>企业注册时间（</w:t>
            </w:r>
            <w:r>
              <w:rPr>
                <w:rFonts w:ascii="Calibri" w:hAnsi="Calibri"/>
                <w:bCs/>
                <w:color w:val="auto"/>
                <w:sz w:val="18"/>
                <w:szCs w:val="18"/>
                <w:highlight w:val="none"/>
              </w:rPr>
              <w:t>QB04</w:t>
            </w:r>
            <w:r>
              <w:rPr>
                <w:rFonts w:ascii="宋体" w:hAnsi="宋体"/>
                <w:bCs/>
                <w:color w:val="auto"/>
                <w:sz w:val="18"/>
                <w:szCs w:val="18"/>
                <w:highlight w:val="none"/>
              </w:rPr>
              <w:t xml:space="preserve">）：  </w:t>
            </w:r>
            <w:r>
              <w:rPr>
                <w:rFonts w:hint="eastAsia" w:ascii="宋体" w:hAnsi="宋体" w:cs="宋体"/>
                <w:bCs/>
                <w:color w:val="auto"/>
                <w:sz w:val="18"/>
                <w:szCs w:val="18"/>
                <w:highlight w:val="none"/>
              </w:rPr>
              <w:t>□□□□</w:t>
            </w:r>
            <w:r>
              <w:rPr>
                <w:rFonts w:hint="eastAsia" w:ascii="宋体" w:hAnsi="宋体"/>
                <w:bCs/>
                <w:color w:val="auto"/>
                <w:sz w:val="18"/>
                <w:szCs w:val="18"/>
                <w:highlight w:val="none"/>
              </w:rPr>
              <w:t>年</w:t>
            </w:r>
          </w:p>
          <w:p w14:paraId="741EC38D">
            <w:pPr>
              <w:snapToGrid w:val="0"/>
              <w:spacing w:line="280" w:lineRule="exact"/>
              <w:rPr>
                <w:rFonts w:ascii="Times New Roman" w:hAnsi="Times New Roman"/>
                <w:bCs/>
                <w:color w:val="auto"/>
                <w:sz w:val="18"/>
                <w:szCs w:val="18"/>
                <w:highlight w:val="none"/>
              </w:rPr>
            </w:pPr>
            <w:r>
              <w:rPr>
                <w:rFonts w:hint="eastAsia" w:ascii="宋体" w:hAnsi="宋体" w:cs="宋体"/>
                <w:bCs/>
                <w:color w:val="auto"/>
                <w:sz w:val="18"/>
                <w:szCs w:val="18"/>
                <w:highlight w:val="none"/>
              </w:rPr>
              <w:t>注册资金（</w:t>
            </w:r>
            <w:r>
              <w:rPr>
                <w:rFonts w:ascii="Calibri" w:hAnsi="Calibri" w:cs="宋体"/>
                <w:bCs/>
                <w:color w:val="auto"/>
                <w:sz w:val="18"/>
                <w:szCs w:val="18"/>
                <w:highlight w:val="none"/>
              </w:rPr>
              <w:t>QB04_0</w:t>
            </w:r>
            <w:r>
              <w:rPr>
                <w:rFonts w:ascii="宋体" w:hAnsi="宋体" w:cs="宋体"/>
                <w:bCs/>
                <w:color w:val="auto"/>
                <w:sz w:val="18"/>
                <w:szCs w:val="18"/>
                <w:highlight w:val="none"/>
              </w:rPr>
              <w:t>）</w:t>
            </w:r>
            <w:r>
              <w:rPr>
                <w:rFonts w:hint="eastAsia" w:ascii="宋体" w:hAnsi="宋体" w:cs="宋体"/>
                <w:bCs/>
                <w:color w:val="auto"/>
                <w:sz w:val="18"/>
                <w:szCs w:val="18"/>
                <w:highlight w:val="none"/>
              </w:rPr>
              <w:t>千元</w:t>
            </w:r>
          </w:p>
        </w:tc>
      </w:tr>
      <w:tr w14:paraId="51ADFD05">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000000" w:sz="4" w:space="0"/>
              <w:left w:val="nil"/>
              <w:bottom w:val="single" w:color="auto" w:sz="4" w:space="0"/>
              <w:right w:val="single" w:color="auto" w:sz="2" w:space="0"/>
            </w:tcBorders>
            <w:noWrap w:val="0"/>
            <w:vAlign w:val="center"/>
          </w:tcPr>
          <w:p w14:paraId="23F32C2B">
            <w:pPr>
              <w:snapToGrid w:val="0"/>
              <w:spacing w:line="280" w:lineRule="exact"/>
              <w:jc w:val="center"/>
              <w:rPr>
                <w:rFonts w:hint="default" w:ascii="Times New Roman" w:hAnsi="Times New Roman" w:eastAsia="宋体"/>
                <w:bCs/>
                <w:color w:val="auto"/>
                <w:sz w:val="18"/>
                <w:szCs w:val="18"/>
                <w:highlight w:val="none"/>
                <w:lang w:val="en-US" w:eastAsia="zh-CN"/>
              </w:rPr>
            </w:pPr>
            <w:r>
              <w:rPr>
                <w:bCs/>
                <w:color w:val="auto"/>
                <w:sz w:val="18"/>
                <w:szCs w:val="18"/>
                <w:highlight w:val="none"/>
              </w:rPr>
              <w:t>QB</w:t>
            </w:r>
            <w:r>
              <w:rPr>
                <w:rFonts w:hint="eastAsia"/>
                <w:bCs/>
                <w:color w:val="auto"/>
                <w:sz w:val="18"/>
                <w:szCs w:val="18"/>
                <w:highlight w:val="none"/>
                <w:lang w:val="en-US" w:eastAsia="zh-CN"/>
              </w:rPr>
              <w:t>06</w:t>
            </w:r>
          </w:p>
        </w:tc>
        <w:tc>
          <w:tcPr>
            <w:tcW w:w="8974" w:type="dxa"/>
            <w:tcBorders>
              <w:top w:val="single" w:color="000000" w:sz="4" w:space="0"/>
              <w:left w:val="single" w:color="auto" w:sz="2" w:space="0"/>
              <w:bottom w:val="single" w:color="auto" w:sz="4" w:space="0"/>
              <w:right w:val="nil"/>
            </w:tcBorders>
            <w:noWrap w:val="0"/>
            <w:vAlign w:val="center"/>
          </w:tcPr>
          <w:p w14:paraId="68EEE698">
            <w:pPr>
              <w:widowControl/>
              <w:snapToGrid w:val="0"/>
              <w:spacing w:line="280" w:lineRule="exact"/>
              <w:rPr>
                <w:bCs/>
                <w:color w:val="auto"/>
                <w:sz w:val="18"/>
                <w:szCs w:val="18"/>
                <w:highlight w:val="none"/>
              </w:rPr>
            </w:pPr>
            <w:r>
              <w:rPr>
                <w:rFonts w:hint="eastAsia"/>
                <w:bCs/>
                <w:color w:val="auto"/>
                <w:sz w:val="18"/>
                <w:szCs w:val="18"/>
                <w:highlight w:val="none"/>
              </w:rPr>
              <w:t>登记注册</w:t>
            </w:r>
            <w:r>
              <w:rPr>
                <w:rFonts w:hint="eastAsia"/>
                <w:bCs/>
                <w:color w:val="auto"/>
                <w:sz w:val="18"/>
                <w:szCs w:val="18"/>
                <w:highlight w:val="none"/>
                <w:lang w:eastAsia="zh-CN"/>
              </w:rPr>
              <w:t>统计类别</w:t>
            </w:r>
            <w:r>
              <w:rPr>
                <w:rFonts w:hint="eastAsia"/>
                <w:bCs/>
                <w:color w:val="auto"/>
                <w:sz w:val="18"/>
                <w:szCs w:val="18"/>
                <w:highlight w:val="none"/>
              </w:rPr>
              <w:t>（QB</w:t>
            </w:r>
            <w:r>
              <w:rPr>
                <w:rFonts w:hint="eastAsia"/>
                <w:bCs/>
                <w:color w:val="auto"/>
                <w:sz w:val="18"/>
                <w:szCs w:val="18"/>
                <w:highlight w:val="none"/>
                <w:lang w:val="en-US" w:eastAsia="zh-CN"/>
              </w:rPr>
              <w:t>06</w:t>
            </w:r>
            <w:r>
              <w:rPr>
                <w:rFonts w:hint="eastAsia"/>
                <w:bCs/>
                <w:color w:val="auto"/>
                <w:sz w:val="18"/>
                <w:szCs w:val="18"/>
                <w:highlight w:val="none"/>
              </w:rPr>
              <w:t>）□□□</w:t>
            </w:r>
          </w:p>
          <w:p w14:paraId="46452817">
            <w:pPr>
              <w:tabs>
                <w:tab w:val="left" w:pos="630"/>
              </w:tabs>
              <w:spacing w:line="280" w:lineRule="exact"/>
              <w:rPr>
                <w:rFonts w:ascii="宋体" w:hAnsi="宋体" w:cs="Nimbus Roman No9 L"/>
                <w:color w:val="auto"/>
                <w:sz w:val="18"/>
                <w:szCs w:val="18"/>
                <w:highlight w:val="none"/>
              </w:rPr>
            </w:pPr>
            <w:r>
              <w:rPr>
                <w:rFonts w:ascii="宋体" w:hAnsi="宋体" w:cs="Nimbus Roman No9 L"/>
                <w:b/>
                <w:bCs/>
                <w:color w:val="auto"/>
                <w:sz w:val="18"/>
                <w:szCs w:val="18"/>
                <w:highlight w:val="none"/>
              </w:rPr>
              <w:t>内资企业</w:t>
            </w:r>
          </w:p>
          <w:p w14:paraId="20AD231F">
            <w:pPr>
              <w:tabs>
                <w:tab w:val="left" w:pos="630"/>
              </w:tabs>
              <w:spacing w:line="280" w:lineRule="exact"/>
              <w:ind w:firstLine="180" w:firstLineChars="100"/>
              <w:rPr>
                <w:rFonts w:ascii="宋体" w:hAnsi="宋体" w:cs="Nimbus Roman No9 L"/>
                <w:color w:val="auto"/>
                <w:sz w:val="18"/>
                <w:szCs w:val="18"/>
                <w:highlight w:val="none"/>
                <w:lang w:val="en"/>
              </w:rPr>
            </w:pPr>
            <w:r>
              <w:rPr>
                <w:rFonts w:ascii="宋体" w:hAnsi="宋体" w:cs="Nimbus Roman No9 L"/>
                <w:color w:val="auto"/>
                <w:sz w:val="18"/>
                <w:szCs w:val="18"/>
                <w:highlight w:val="none"/>
                <w:lang w:val="en"/>
              </w:rPr>
              <w:t xml:space="preserve">111 国有独资公司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lang w:val="en"/>
              </w:rPr>
              <w:t xml:space="preserve">112 私营有限责任公司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lang w:val="en"/>
              </w:rPr>
              <w:t>119 其他有限责任公司</w:t>
            </w:r>
          </w:p>
          <w:p w14:paraId="196717A0">
            <w:pPr>
              <w:tabs>
                <w:tab w:val="left" w:pos="630"/>
              </w:tabs>
              <w:spacing w:line="280" w:lineRule="exact"/>
              <w:ind w:firstLine="180" w:firstLineChars="100"/>
              <w:rPr>
                <w:rFonts w:ascii="宋体" w:hAnsi="宋体" w:cs="Nimbus Roman No9 L"/>
                <w:color w:val="auto"/>
                <w:sz w:val="18"/>
                <w:szCs w:val="18"/>
                <w:highlight w:val="none"/>
              </w:rPr>
            </w:pPr>
            <w:r>
              <w:rPr>
                <w:rFonts w:ascii="宋体" w:hAnsi="宋体" w:cs="Nimbus Roman No9 L"/>
                <w:color w:val="auto"/>
                <w:sz w:val="18"/>
                <w:szCs w:val="18"/>
                <w:highlight w:val="none"/>
              </w:rPr>
              <w:t>121 私营股份有限公司 129 其他股份有限公司</w:t>
            </w:r>
          </w:p>
          <w:p w14:paraId="7F5DB2DC">
            <w:pPr>
              <w:tabs>
                <w:tab w:val="left" w:pos="630"/>
              </w:tabs>
              <w:spacing w:line="280" w:lineRule="exact"/>
              <w:ind w:firstLine="180" w:firstLineChars="100"/>
              <w:rPr>
                <w:rFonts w:hint="eastAsia" w:ascii="宋体" w:hAnsi="宋体" w:cs="Nimbus Roman No9 L"/>
                <w:color w:val="auto"/>
                <w:sz w:val="18"/>
                <w:szCs w:val="18"/>
                <w:highlight w:val="none"/>
              </w:rPr>
            </w:pPr>
            <w:r>
              <w:rPr>
                <w:rFonts w:ascii="宋体" w:hAnsi="宋体" w:cs="Nimbus Roman No9 L"/>
                <w:color w:val="auto"/>
                <w:sz w:val="18"/>
                <w:szCs w:val="18"/>
                <w:highlight w:val="none"/>
              </w:rPr>
              <w:t>131 全民所有制企业（国有企业）</w:t>
            </w:r>
            <w:r>
              <w:rPr>
                <w:rFonts w:hint="eastAsia" w:ascii="宋体" w:hAnsi="宋体" w:cs="Nimbus Roman No9 L"/>
                <w:color w:val="auto"/>
                <w:sz w:val="18"/>
                <w:szCs w:val="18"/>
                <w:highlight w:val="none"/>
              </w:rPr>
              <w:t xml:space="preserve">     132 集体所有制企业（集体企业） 133 股份合作企业 134 联营企业</w:t>
            </w:r>
          </w:p>
          <w:p w14:paraId="3A707197">
            <w:pPr>
              <w:tabs>
                <w:tab w:val="left" w:pos="630"/>
              </w:tabs>
              <w:spacing w:line="280" w:lineRule="exact"/>
              <w:ind w:firstLine="180" w:firstLineChars="100"/>
              <w:rPr>
                <w:rFonts w:ascii="宋体" w:hAnsi="宋体" w:cs="Nimbus Roman No9 L"/>
                <w:color w:val="auto"/>
                <w:sz w:val="18"/>
                <w:szCs w:val="18"/>
                <w:highlight w:val="none"/>
                <w:lang w:val="en"/>
              </w:rPr>
            </w:pPr>
            <w:r>
              <w:rPr>
                <w:rFonts w:ascii="宋体" w:hAnsi="宋体" w:cs="Nimbus Roman No9 L"/>
                <w:color w:val="auto"/>
                <w:sz w:val="18"/>
                <w:szCs w:val="18"/>
                <w:highlight w:val="none"/>
              </w:rPr>
              <w:t>140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个人独资企业</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150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合伙企业</w:t>
            </w:r>
            <w:r>
              <w:rPr>
                <w:rFonts w:ascii="宋体" w:hAnsi="宋体" w:cs="Nimbus Roman No9 L"/>
                <w:color w:val="auto"/>
                <w:sz w:val="18"/>
                <w:szCs w:val="18"/>
                <w:highlight w:val="none"/>
                <w:lang w:val="en"/>
              </w:rPr>
              <w:t xml:space="preserve">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190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其他内资企业</w:t>
            </w:r>
          </w:p>
          <w:p w14:paraId="4D0C7EF7">
            <w:pPr>
              <w:tabs>
                <w:tab w:val="left" w:pos="630"/>
              </w:tabs>
              <w:spacing w:line="280" w:lineRule="exact"/>
              <w:rPr>
                <w:rFonts w:ascii="宋体" w:hAnsi="宋体" w:cs="Nimbus Roman No9 L"/>
                <w:color w:val="auto"/>
                <w:sz w:val="18"/>
                <w:szCs w:val="18"/>
                <w:highlight w:val="none"/>
                <w:lang w:val="en"/>
              </w:rPr>
            </w:pPr>
            <w:r>
              <w:rPr>
                <w:rFonts w:ascii="宋体" w:hAnsi="宋体" w:cs="Nimbus Roman No9 L"/>
                <w:b/>
                <w:bCs/>
                <w:color w:val="auto"/>
                <w:sz w:val="18"/>
                <w:szCs w:val="18"/>
                <w:highlight w:val="none"/>
              </w:rPr>
              <w:t>港澳台</w:t>
            </w:r>
            <w:r>
              <w:rPr>
                <w:rFonts w:hint="eastAsia" w:ascii="宋体" w:hAnsi="宋体" w:cs="Nimbus Roman No9 L"/>
                <w:b/>
                <w:bCs/>
                <w:color w:val="auto"/>
                <w:sz w:val="18"/>
                <w:szCs w:val="18"/>
                <w:highlight w:val="none"/>
                <w:lang w:eastAsia="zh-CN"/>
              </w:rPr>
              <w:t>商</w:t>
            </w:r>
            <w:r>
              <w:rPr>
                <w:rFonts w:ascii="宋体" w:hAnsi="宋体" w:cs="Nimbus Roman No9 L"/>
                <w:b/>
                <w:bCs/>
                <w:color w:val="auto"/>
                <w:sz w:val="18"/>
                <w:szCs w:val="18"/>
                <w:highlight w:val="none"/>
              </w:rPr>
              <w:t>投资企业</w:t>
            </w:r>
          </w:p>
          <w:p w14:paraId="23747BED">
            <w:pPr>
              <w:tabs>
                <w:tab w:val="left" w:pos="630"/>
              </w:tabs>
              <w:spacing w:line="280" w:lineRule="exact"/>
              <w:ind w:firstLine="180" w:firstLineChars="100"/>
              <w:rPr>
                <w:rFonts w:ascii="宋体" w:hAnsi="宋体" w:cs="Nimbus Roman No9 L"/>
                <w:color w:val="auto"/>
                <w:sz w:val="18"/>
                <w:szCs w:val="18"/>
                <w:highlight w:val="none"/>
              </w:rPr>
            </w:pPr>
            <w:r>
              <w:rPr>
                <w:rFonts w:ascii="宋体" w:hAnsi="宋体" w:cs="Nimbus Roman No9 L"/>
                <w:color w:val="auto"/>
                <w:sz w:val="18"/>
                <w:szCs w:val="18"/>
                <w:highlight w:val="none"/>
              </w:rPr>
              <w:t>210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港澳台投资有限责任公司</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220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港澳台投资股份有限公司</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230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港澳台投资合伙企业</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290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其他港澳台投资企业</w:t>
            </w:r>
          </w:p>
          <w:p w14:paraId="44097104">
            <w:pPr>
              <w:tabs>
                <w:tab w:val="left" w:pos="630"/>
              </w:tabs>
              <w:spacing w:line="280" w:lineRule="exact"/>
              <w:rPr>
                <w:rFonts w:ascii="宋体" w:hAnsi="宋体" w:cs="Nimbus Roman No9 L"/>
                <w:color w:val="auto"/>
                <w:sz w:val="18"/>
                <w:szCs w:val="18"/>
                <w:highlight w:val="none"/>
              </w:rPr>
            </w:pPr>
            <w:r>
              <w:rPr>
                <w:rFonts w:ascii="宋体" w:hAnsi="宋体" w:cs="Nimbus Roman No9 L"/>
                <w:b/>
                <w:bCs/>
                <w:color w:val="auto"/>
                <w:sz w:val="18"/>
                <w:szCs w:val="18"/>
                <w:highlight w:val="none"/>
              </w:rPr>
              <w:t>外商投资企业</w:t>
            </w:r>
          </w:p>
          <w:p w14:paraId="0EF18E10">
            <w:pPr>
              <w:tabs>
                <w:tab w:val="left" w:pos="630"/>
              </w:tabs>
              <w:spacing w:line="280" w:lineRule="exact"/>
              <w:ind w:firstLine="180" w:firstLineChars="100"/>
              <w:rPr>
                <w:rFonts w:ascii="宋体" w:hAnsi="宋体" w:cs="Nimbus Roman No9 L"/>
                <w:color w:val="auto"/>
                <w:sz w:val="18"/>
                <w:szCs w:val="18"/>
                <w:highlight w:val="none"/>
              </w:rPr>
            </w:pPr>
            <w:r>
              <w:rPr>
                <w:rFonts w:ascii="宋体" w:hAnsi="宋体" w:cs="Nimbus Roman No9 L"/>
                <w:color w:val="auto"/>
                <w:sz w:val="18"/>
                <w:szCs w:val="18"/>
                <w:highlight w:val="none"/>
              </w:rPr>
              <w:t>310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外商投资有限责任公司</w:t>
            </w:r>
            <w:r>
              <w:rPr>
                <w:rFonts w:ascii="宋体" w:hAnsi="宋体" w:cs="Nimbus Roman No9 L"/>
                <w:color w:val="auto"/>
                <w:sz w:val="18"/>
                <w:szCs w:val="18"/>
                <w:highlight w:val="none"/>
                <w:lang w:val="en"/>
              </w:rPr>
              <w:t xml:space="preserve">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320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外商投资股份有限公司</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330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外商投资合伙企业</w:t>
            </w:r>
            <w:r>
              <w:rPr>
                <w:rFonts w:ascii="宋体" w:hAnsi="宋体" w:cs="Nimbus Roman No9 L"/>
                <w:color w:val="auto"/>
                <w:sz w:val="18"/>
                <w:szCs w:val="18"/>
                <w:highlight w:val="none"/>
                <w:lang w:val="en"/>
              </w:rPr>
              <w:t xml:space="preserve">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390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其他外商投资企业</w:t>
            </w:r>
          </w:p>
          <w:p w14:paraId="6DF7A48D">
            <w:pPr>
              <w:snapToGrid w:val="0"/>
              <w:spacing w:line="280" w:lineRule="exact"/>
              <w:ind w:firstLine="180" w:firstLineChars="100"/>
              <w:rPr>
                <w:rFonts w:ascii="Times New Roman" w:hAnsi="Times New Roman"/>
                <w:bCs/>
                <w:color w:val="auto"/>
                <w:sz w:val="18"/>
                <w:szCs w:val="18"/>
                <w:highlight w:val="none"/>
              </w:rPr>
            </w:pPr>
            <w:r>
              <w:rPr>
                <w:rFonts w:ascii="宋体" w:hAnsi="宋体" w:cs="Nimbus Roman No9 L"/>
                <w:color w:val="auto"/>
                <w:sz w:val="18"/>
                <w:szCs w:val="18"/>
                <w:highlight w:val="none"/>
              </w:rPr>
              <w:t>400</w:t>
            </w:r>
            <w:r>
              <w:rPr>
                <w:rFonts w:ascii="宋体" w:hAnsi="宋体" w:cs="Nimbus Roman No9 L"/>
                <w:color w:val="auto"/>
                <w:sz w:val="18"/>
                <w:szCs w:val="18"/>
                <w:highlight w:val="none"/>
                <w:lang w:val="en"/>
              </w:rPr>
              <w:t xml:space="preserve"> </w:t>
            </w:r>
            <w:r>
              <w:rPr>
                <w:rFonts w:ascii="宋体" w:hAnsi="宋体" w:eastAsia="宋体" w:cs="Nimbus Roman No9 L"/>
                <w:b w:val="0"/>
                <w:bCs w:val="0"/>
                <w:color w:val="auto"/>
                <w:sz w:val="18"/>
                <w:szCs w:val="18"/>
                <w:highlight w:val="none"/>
              </w:rPr>
              <w:t>农民专业合作社（联合社）</w:t>
            </w:r>
            <w:r>
              <w:rPr>
                <w:rFonts w:hint="default" w:ascii="宋体" w:hAnsi="宋体" w:eastAsia="宋体" w:cs="Nimbus Roman No9 L"/>
                <w:color w:val="auto"/>
                <w:sz w:val="18"/>
                <w:szCs w:val="18"/>
                <w:highlight w:val="none"/>
              </w:rPr>
              <w:t xml:space="preserve"> </w:t>
            </w:r>
            <w:r>
              <w:rPr>
                <w:rFonts w:hint="eastAsia" w:ascii="宋体" w:hAnsi="宋体" w:eastAsia="宋体" w:cs="Nimbus Roman No9 L"/>
                <w:color w:val="auto"/>
                <w:sz w:val="18"/>
                <w:szCs w:val="18"/>
                <w:highlight w:val="none"/>
                <w:lang w:val="en-US" w:eastAsia="zh-CN"/>
              </w:rPr>
              <w:t xml:space="preserve"> </w:t>
            </w:r>
            <w:r>
              <w:rPr>
                <w:rFonts w:ascii="宋体" w:hAnsi="宋体" w:eastAsia="宋体" w:cs="Nimbus Roman No9 L"/>
                <w:color w:val="auto"/>
                <w:sz w:val="18"/>
                <w:szCs w:val="18"/>
                <w:highlight w:val="none"/>
              </w:rPr>
              <w:t>500</w:t>
            </w:r>
            <w:r>
              <w:rPr>
                <w:rFonts w:ascii="宋体" w:hAnsi="宋体" w:eastAsia="宋体" w:cs="Nimbus Roman No9 L"/>
                <w:color w:val="auto"/>
                <w:sz w:val="18"/>
                <w:szCs w:val="18"/>
                <w:highlight w:val="none"/>
                <w:lang w:val="en"/>
              </w:rPr>
              <w:t xml:space="preserve"> </w:t>
            </w:r>
            <w:r>
              <w:rPr>
                <w:rFonts w:ascii="宋体" w:hAnsi="宋体" w:eastAsia="宋体" w:cs="Nimbus Roman No9 L"/>
                <w:b w:val="0"/>
                <w:bCs w:val="0"/>
                <w:color w:val="auto"/>
                <w:sz w:val="18"/>
                <w:szCs w:val="18"/>
                <w:highlight w:val="none"/>
              </w:rPr>
              <w:t>个体工商户</w:t>
            </w:r>
            <w:r>
              <w:rPr>
                <w:rFonts w:hint="default" w:ascii="宋体" w:hAnsi="宋体" w:eastAsia="宋体" w:cs="Nimbus Roman No9 L"/>
                <w:b w:val="0"/>
                <w:bCs w:val="0"/>
                <w:color w:val="auto"/>
                <w:sz w:val="18"/>
                <w:szCs w:val="18"/>
                <w:highlight w:val="none"/>
              </w:rPr>
              <w:t xml:space="preserve">   </w:t>
            </w:r>
            <w:r>
              <w:rPr>
                <w:rFonts w:ascii="宋体" w:hAnsi="宋体" w:eastAsia="宋体" w:cs="Nimbus Roman No9 L"/>
                <w:color w:val="auto"/>
                <w:sz w:val="18"/>
                <w:szCs w:val="18"/>
                <w:highlight w:val="none"/>
              </w:rPr>
              <w:t>900</w:t>
            </w:r>
            <w:r>
              <w:rPr>
                <w:rFonts w:ascii="宋体" w:hAnsi="宋体" w:eastAsia="宋体" w:cs="Nimbus Roman No9 L"/>
                <w:color w:val="auto"/>
                <w:sz w:val="18"/>
                <w:szCs w:val="18"/>
                <w:highlight w:val="none"/>
                <w:lang w:val="en"/>
              </w:rPr>
              <w:t xml:space="preserve"> </w:t>
            </w:r>
            <w:r>
              <w:rPr>
                <w:rFonts w:ascii="宋体" w:hAnsi="宋体" w:eastAsia="宋体" w:cs="Nimbus Roman No9 L"/>
                <w:b w:val="0"/>
                <w:bCs w:val="0"/>
                <w:color w:val="auto"/>
                <w:sz w:val="18"/>
                <w:szCs w:val="18"/>
                <w:highlight w:val="none"/>
              </w:rPr>
              <w:t>其他市场主体</w:t>
            </w:r>
          </w:p>
        </w:tc>
      </w:tr>
      <w:tr w14:paraId="248D8D3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43980590">
            <w:pPr>
              <w:snapToGrid w:val="0"/>
              <w:spacing w:line="280" w:lineRule="exact"/>
              <w:jc w:val="center"/>
              <w:rPr>
                <w:bCs/>
                <w:color w:val="auto"/>
                <w:sz w:val="18"/>
                <w:szCs w:val="18"/>
                <w:highlight w:val="none"/>
              </w:rPr>
            </w:pPr>
          </w:p>
          <w:p w14:paraId="0C81B50D">
            <w:pPr>
              <w:snapToGrid w:val="0"/>
              <w:spacing w:line="280" w:lineRule="exact"/>
              <w:jc w:val="center"/>
              <w:rPr>
                <w:bCs/>
                <w:color w:val="auto"/>
                <w:highlight w:val="none"/>
              </w:rPr>
            </w:pPr>
            <w:r>
              <w:rPr>
                <w:bCs/>
                <w:color w:val="auto"/>
                <w:sz w:val="18"/>
                <w:szCs w:val="18"/>
                <w:highlight w:val="none"/>
              </w:rPr>
              <w:t>QB06_1</w:t>
            </w:r>
          </w:p>
          <w:p w14:paraId="47F187C6">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QB06_2</w:t>
            </w:r>
          </w:p>
        </w:tc>
        <w:tc>
          <w:tcPr>
            <w:tcW w:w="8974" w:type="dxa"/>
            <w:tcBorders>
              <w:top w:val="single" w:color="auto" w:sz="4" w:space="0"/>
              <w:left w:val="single" w:color="auto" w:sz="2" w:space="0"/>
              <w:bottom w:val="single" w:color="auto" w:sz="4" w:space="0"/>
              <w:right w:val="nil"/>
            </w:tcBorders>
            <w:noWrap w:val="0"/>
            <w:vAlign w:val="center"/>
          </w:tcPr>
          <w:p w14:paraId="02807C82">
            <w:pPr>
              <w:widowControl/>
              <w:snapToGrid w:val="0"/>
              <w:spacing w:line="280" w:lineRule="exact"/>
              <w:rPr>
                <w:bCs/>
                <w:color w:val="auto"/>
                <w:sz w:val="18"/>
                <w:szCs w:val="18"/>
                <w:highlight w:val="none"/>
              </w:rPr>
            </w:pPr>
            <w:r>
              <w:rPr>
                <w:rFonts w:hint="eastAsia"/>
                <w:bCs/>
                <w:color w:val="auto"/>
                <w:sz w:val="18"/>
                <w:szCs w:val="18"/>
                <w:highlight w:val="none"/>
              </w:rPr>
              <w:t>主要外资来源国或地区的国别（地区）名称代码及外资出资比例（限港澳台商和外商投资企业填报）</w:t>
            </w:r>
          </w:p>
          <w:p w14:paraId="7BD42418">
            <w:pPr>
              <w:widowControl/>
              <w:snapToGrid w:val="0"/>
              <w:spacing w:line="280" w:lineRule="exact"/>
              <w:rPr>
                <w:bCs/>
                <w:color w:val="auto"/>
                <w:sz w:val="18"/>
                <w:szCs w:val="18"/>
                <w:highlight w:val="none"/>
              </w:rPr>
            </w:pPr>
            <w:r>
              <w:rPr>
                <w:rFonts w:hint="eastAsia"/>
                <w:bCs/>
                <w:color w:val="auto"/>
                <w:sz w:val="18"/>
                <w:szCs w:val="18"/>
                <w:highlight w:val="none"/>
              </w:rPr>
              <w:t>国别或地区代码（QB06_1）□□□</w:t>
            </w:r>
          </w:p>
          <w:p w14:paraId="29B395BD">
            <w:pPr>
              <w:widowControl/>
              <w:snapToGrid w:val="0"/>
              <w:spacing w:line="280" w:lineRule="exact"/>
              <w:rPr>
                <w:rFonts w:ascii="Times New Roman" w:hAnsi="Times New Roman"/>
                <w:bCs/>
                <w:color w:val="auto"/>
                <w:sz w:val="18"/>
                <w:szCs w:val="18"/>
                <w:highlight w:val="none"/>
                <w:u w:val="single"/>
              </w:rPr>
            </w:pPr>
            <w:r>
              <w:rPr>
                <w:rFonts w:hint="eastAsia"/>
                <w:bCs/>
                <w:color w:val="auto"/>
                <w:sz w:val="18"/>
                <w:szCs w:val="18"/>
                <w:highlight w:val="none"/>
              </w:rPr>
              <w:t>出资比例（QB06_2）</w:t>
            </w:r>
            <w:r>
              <w:rPr>
                <w:bCs/>
                <w:color w:val="auto"/>
                <w:sz w:val="18"/>
                <w:szCs w:val="18"/>
                <w:highlight w:val="none"/>
                <w:u w:val="single"/>
              </w:rPr>
              <w:t xml:space="preserve">      %</w:t>
            </w:r>
          </w:p>
        </w:tc>
      </w:tr>
      <w:tr w14:paraId="0B2808E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0EC4BFD2">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QB18</w:t>
            </w:r>
          </w:p>
        </w:tc>
        <w:tc>
          <w:tcPr>
            <w:tcW w:w="8974" w:type="dxa"/>
            <w:tcBorders>
              <w:top w:val="single" w:color="auto" w:sz="4" w:space="0"/>
              <w:left w:val="single" w:color="auto" w:sz="2" w:space="0"/>
              <w:bottom w:val="single" w:color="auto" w:sz="4" w:space="0"/>
              <w:right w:val="nil"/>
            </w:tcBorders>
            <w:noWrap w:val="0"/>
            <w:vAlign w:val="center"/>
          </w:tcPr>
          <w:p w14:paraId="7F8EB718">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 xml:space="preserve">企业控股情况□   1 国有控股    2 集体控股    3 私人控股    4 港澳台商控股    5 外商控股 </w:t>
            </w:r>
            <w:r>
              <w:rPr>
                <w:rFonts w:hint="eastAsia"/>
                <w:bCs/>
                <w:color w:val="auto"/>
                <w:sz w:val="18"/>
                <w:szCs w:val="18"/>
                <w:highlight w:val="none"/>
                <w:lang w:val="en-US" w:eastAsia="zh-CN"/>
              </w:rPr>
              <w:t xml:space="preserve">  </w:t>
            </w:r>
            <w:r>
              <w:rPr>
                <w:rFonts w:hint="eastAsia"/>
                <w:bCs/>
                <w:color w:val="auto"/>
                <w:sz w:val="18"/>
                <w:szCs w:val="18"/>
                <w:highlight w:val="none"/>
              </w:rPr>
              <w:t>9 其他</w:t>
            </w:r>
          </w:p>
        </w:tc>
      </w:tr>
      <w:tr w14:paraId="5C5C6C6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203564B4">
            <w:pPr>
              <w:snapToGrid w:val="0"/>
              <w:spacing w:line="280" w:lineRule="exact"/>
              <w:jc w:val="center"/>
              <w:rPr>
                <w:rFonts w:hint="eastAsia" w:eastAsia="宋体"/>
                <w:bCs/>
                <w:color w:val="auto"/>
                <w:kern w:val="2"/>
                <w:sz w:val="18"/>
                <w:szCs w:val="18"/>
                <w:highlight w:val="none"/>
                <w:lang w:val="en-US" w:eastAsia="zh-CN" w:bidi="ar-SA"/>
              </w:rPr>
            </w:pPr>
            <w:r>
              <w:rPr>
                <w:bCs/>
                <w:color w:val="auto"/>
                <w:sz w:val="18"/>
                <w:szCs w:val="18"/>
                <w:highlight w:val="none"/>
              </w:rPr>
              <w:t>QB</w:t>
            </w:r>
            <w:r>
              <w:rPr>
                <w:rFonts w:hint="eastAsia"/>
                <w:bCs/>
                <w:color w:val="auto"/>
                <w:sz w:val="18"/>
                <w:szCs w:val="18"/>
                <w:highlight w:val="none"/>
                <w:lang w:val="en-US" w:eastAsia="zh-CN"/>
              </w:rPr>
              <w:t>39</w:t>
            </w:r>
          </w:p>
        </w:tc>
        <w:tc>
          <w:tcPr>
            <w:tcW w:w="8974" w:type="dxa"/>
            <w:tcBorders>
              <w:top w:val="single" w:color="auto" w:sz="4" w:space="0"/>
              <w:left w:val="single" w:color="auto" w:sz="2" w:space="0"/>
              <w:bottom w:val="single" w:color="auto" w:sz="4" w:space="0"/>
              <w:right w:val="nil"/>
            </w:tcBorders>
            <w:noWrap w:val="0"/>
            <w:vAlign w:val="center"/>
          </w:tcPr>
          <w:p w14:paraId="3C035A64">
            <w:pPr>
              <w:snapToGrid w:val="0"/>
              <w:spacing w:line="280" w:lineRule="exact"/>
              <w:ind w:firstLine="12" w:firstLineChars="7"/>
              <w:rPr>
                <w:rFonts w:ascii="Nimbus Roman No9 L" w:hAnsi="Nimbus Roman No9 L" w:eastAsia="宋体" w:cs="Nimbus Roman No9 L"/>
                <w:color w:val="auto"/>
                <w:sz w:val="18"/>
                <w:szCs w:val="18"/>
                <w:highlight w:val="none"/>
              </w:rPr>
            </w:pPr>
            <w:r>
              <w:rPr>
                <w:rFonts w:ascii="Nimbus Roman No9 L" w:hAnsi="Nimbus Roman No9 L" w:eastAsia="宋体" w:cs="Nimbus Roman No9 L"/>
                <w:color w:val="auto"/>
                <w:sz w:val="18"/>
                <w:szCs w:val="18"/>
                <w:highlight w:val="none"/>
              </w:rPr>
              <w:t>港澳台商投资情况（限港澳台商投资企业填报）（可多选）</w:t>
            </w:r>
          </w:p>
          <w:p w14:paraId="26A6E38F">
            <w:pPr>
              <w:snapToGrid w:val="0"/>
              <w:spacing w:line="280" w:lineRule="exact"/>
              <w:ind w:left="0" w:leftChars="0" w:firstLine="0" w:firstLineChars="0"/>
              <w:rPr>
                <w:rFonts w:hint="eastAsia" w:ascii="Nimbus Roman No9 L" w:hAnsi="Nimbus Roman No9 L" w:eastAsia="宋体" w:cs="Nimbus Roman No9 L"/>
                <w:color w:val="auto"/>
                <w:kern w:val="2"/>
                <w:sz w:val="18"/>
                <w:szCs w:val="18"/>
                <w:highlight w:val="none"/>
                <w:lang w:val="en-US" w:eastAsia="zh-CN" w:bidi="ar-SA"/>
              </w:rPr>
            </w:pPr>
            <w:r>
              <w:rPr>
                <w:rFonts w:hint="eastAsia"/>
                <w:bCs/>
                <w:color w:val="auto"/>
                <w:sz w:val="18"/>
                <w:szCs w:val="18"/>
                <w:highlight w:val="none"/>
              </w:rPr>
              <w:t>1</w:t>
            </w:r>
            <w:r>
              <w:rPr>
                <w:rFonts w:ascii="Nimbus Roman No9 L" w:hAnsi="Nimbus Roman No9 L" w:eastAsia="宋体" w:cs="Nimbus Roman No9 L"/>
                <w:color w:val="auto"/>
                <w:sz w:val="18"/>
                <w:szCs w:val="18"/>
                <w:highlight w:val="none"/>
              </w:rPr>
              <w:t xml:space="preserve"> 港商投资   </w:t>
            </w:r>
            <w:r>
              <w:rPr>
                <w:rFonts w:hint="eastAsia"/>
                <w:bCs/>
                <w:color w:val="auto"/>
                <w:sz w:val="18"/>
                <w:szCs w:val="18"/>
                <w:highlight w:val="none"/>
              </w:rPr>
              <w:t>2</w:t>
            </w:r>
            <w:r>
              <w:rPr>
                <w:rFonts w:ascii="Nimbus Roman No9 L" w:hAnsi="Nimbus Roman No9 L" w:eastAsia="宋体" w:cs="Nimbus Roman No9 L"/>
                <w:color w:val="auto"/>
                <w:sz w:val="18"/>
                <w:szCs w:val="18"/>
                <w:highlight w:val="none"/>
              </w:rPr>
              <w:t xml:space="preserve">澳商投资   </w:t>
            </w:r>
            <w:r>
              <w:rPr>
                <w:rFonts w:hint="eastAsia"/>
                <w:bCs/>
                <w:color w:val="auto"/>
                <w:sz w:val="18"/>
                <w:szCs w:val="18"/>
                <w:highlight w:val="none"/>
              </w:rPr>
              <w:t>3</w:t>
            </w:r>
            <w:r>
              <w:rPr>
                <w:rFonts w:ascii="Nimbus Roman No9 L" w:hAnsi="Nimbus Roman No9 L" w:eastAsia="宋体" w:cs="Nimbus Roman No9 L"/>
                <w:color w:val="auto"/>
                <w:sz w:val="18"/>
                <w:szCs w:val="18"/>
                <w:highlight w:val="none"/>
              </w:rPr>
              <w:t xml:space="preserve">台商投资   </w:t>
            </w:r>
            <w:r>
              <w:rPr>
                <w:rFonts w:hint="eastAsia"/>
                <w:bCs/>
                <w:color w:val="auto"/>
                <w:sz w:val="18"/>
                <w:szCs w:val="18"/>
                <w:highlight w:val="none"/>
              </w:rPr>
              <w:t>4</w:t>
            </w:r>
            <w:r>
              <w:rPr>
                <w:rFonts w:ascii="Nimbus Roman No9 L" w:hAnsi="Nimbus Roman No9 L" w:eastAsia="宋体" w:cs="Nimbus Roman No9 L"/>
                <w:color w:val="auto"/>
                <w:sz w:val="18"/>
                <w:szCs w:val="18"/>
                <w:highlight w:val="none"/>
                <w:lang w:val="en"/>
              </w:rPr>
              <w:t>暂未</w:t>
            </w:r>
            <w:r>
              <w:rPr>
                <w:rFonts w:ascii="Nimbus Roman No9 L" w:hAnsi="Nimbus Roman No9 L" w:eastAsia="宋体" w:cs="Nimbus Roman No9 L"/>
                <w:color w:val="auto"/>
                <w:sz w:val="18"/>
                <w:szCs w:val="18"/>
                <w:highlight w:val="none"/>
              </w:rPr>
              <w:t>投资</w:t>
            </w:r>
          </w:p>
        </w:tc>
      </w:tr>
      <w:tr w14:paraId="1E65895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5B96FF01">
            <w:pPr>
              <w:snapToGrid w:val="0"/>
              <w:spacing w:line="280" w:lineRule="exact"/>
              <w:jc w:val="center"/>
              <w:rPr>
                <w:bCs/>
                <w:color w:val="auto"/>
                <w:sz w:val="18"/>
                <w:szCs w:val="18"/>
                <w:highlight w:val="none"/>
              </w:rPr>
            </w:pPr>
            <w:r>
              <w:rPr>
                <w:rFonts w:hint="eastAsia"/>
                <w:bCs/>
                <w:color w:val="auto"/>
                <w:sz w:val="18"/>
                <w:szCs w:val="18"/>
                <w:highlight w:val="none"/>
              </w:rPr>
              <w:t>QB</w:t>
            </w:r>
            <w:r>
              <w:rPr>
                <w:bCs/>
                <w:color w:val="auto"/>
                <w:sz w:val="18"/>
                <w:szCs w:val="18"/>
                <w:highlight w:val="none"/>
              </w:rPr>
              <w:t>30</w:t>
            </w:r>
          </w:p>
        </w:tc>
        <w:tc>
          <w:tcPr>
            <w:tcW w:w="8974" w:type="dxa"/>
            <w:tcBorders>
              <w:top w:val="single" w:color="auto" w:sz="4" w:space="0"/>
              <w:left w:val="single" w:color="auto" w:sz="2" w:space="0"/>
              <w:bottom w:val="single" w:color="auto" w:sz="4" w:space="0"/>
              <w:right w:val="nil"/>
            </w:tcBorders>
            <w:noWrap w:val="0"/>
            <w:vAlign w:val="center"/>
          </w:tcPr>
          <w:p w14:paraId="5F01EDF1">
            <w:pPr>
              <w:snapToGrid w:val="0"/>
              <w:spacing w:line="280" w:lineRule="exact"/>
              <w:rPr>
                <w:bCs/>
                <w:color w:val="auto"/>
                <w:sz w:val="18"/>
                <w:szCs w:val="18"/>
                <w:highlight w:val="none"/>
              </w:rPr>
            </w:pPr>
            <w:r>
              <w:rPr>
                <w:rFonts w:hint="eastAsia"/>
                <w:bCs/>
                <w:color w:val="auto"/>
                <w:sz w:val="18"/>
                <w:szCs w:val="18"/>
                <w:highlight w:val="none"/>
                <w:lang w:eastAsia="zh-CN"/>
              </w:rPr>
              <w:t>用</w:t>
            </w:r>
            <w:r>
              <w:rPr>
                <w:rFonts w:hint="eastAsia"/>
                <w:bCs/>
                <w:color w:val="auto"/>
                <w:sz w:val="18"/>
                <w:szCs w:val="18"/>
                <w:highlight w:val="none"/>
              </w:rPr>
              <w:t>地</w:t>
            </w:r>
            <w:r>
              <w:rPr>
                <w:bCs/>
                <w:color w:val="auto"/>
                <w:sz w:val="18"/>
                <w:szCs w:val="18"/>
                <w:highlight w:val="none"/>
              </w:rPr>
              <w:t>面积</w:t>
            </w:r>
            <w:r>
              <w:rPr>
                <w:rFonts w:hint="eastAsia"/>
                <w:bCs/>
                <w:color w:val="auto"/>
                <w:sz w:val="18"/>
                <w:szCs w:val="18"/>
                <w:highlight w:val="none"/>
              </w:rPr>
              <w:t>（QB</w:t>
            </w:r>
            <w:r>
              <w:rPr>
                <w:bCs/>
                <w:color w:val="auto"/>
                <w:sz w:val="18"/>
                <w:szCs w:val="18"/>
                <w:highlight w:val="none"/>
              </w:rPr>
              <w:t>30</w:t>
            </w:r>
            <w:r>
              <w:rPr>
                <w:rFonts w:hint="eastAsia"/>
                <w:bCs/>
                <w:color w:val="auto"/>
                <w:sz w:val="18"/>
                <w:szCs w:val="18"/>
                <w:highlight w:val="none"/>
              </w:rPr>
              <w:t>）</w:t>
            </w:r>
            <w:r>
              <w:rPr>
                <w:bCs/>
                <w:color w:val="auto"/>
                <w:sz w:val="18"/>
                <w:szCs w:val="18"/>
                <w:highlight w:val="none"/>
              </w:rPr>
              <w:t>：</w:t>
            </w:r>
            <w:r>
              <w:rPr>
                <w:rFonts w:hint="eastAsia"/>
                <w:bCs/>
                <w:color w:val="auto"/>
                <w:sz w:val="18"/>
                <w:szCs w:val="18"/>
                <w:highlight w:val="none"/>
              </w:rPr>
              <w:t>________平方</w:t>
            </w:r>
            <w:r>
              <w:rPr>
                <w:bCs/>
                <w:color w:val="auto"/>
                <w:sz w:val="18"/>
                <w:szCs w:val="18"/>
                <w:highlight w:val="none"/>
              </w:rPr>
              <w:t>米</w:t>
            </w:r>
          </w:p>
          <w:p w14:paraId="0204153D">
            <w:pPr>
              <w:snapToGrid w:val="0"/>
              <w:spacing w:line="280" w:lineRule="exact"/>
              <w:rPr>
                <w:bCs/>
                <w:color w:val="auto"/>
                <w:sz w:val="18"/>
                <w:szCs w:val="18"/>
                <w:highlight w:val="none"/>
              </w:rPr>
            </w:pPr>
            <w:r>
              <w:rPr>
                <w:rFonts w:hint="eastAsia"/>
                <w:bCs/>
                <w:color w:val="auto"/>
                <w:sz w:val="18"/>
                <w:szCs w:val="18"/>
                <w:highlight w:val="none"/>
              </w:rPr>
              <w:t>建筑</w:t>
            </w:r>
            <w:r>
              <w:rPr>
                <w:bCs/>
                <w:color w:val="auto"/>
                <w:sz w:val="18"/>
                <w:szCs w:val="18"/>
                <w:highlight w:val="none"/>
              </w:rPr>
              <w:t>面积</w:t>
            </w:r>
            <w:r>
              <w:rPr>
                <w:rFonts w:hint="eastAsia"/>
                <w:bCs/>
                <w:color w:val="auto"/>
                <w:sz w:val="18"/>
                <w:szCs w:val="18"/>
                <w:highlight w:val="none"/>
              </w:rPr>
              <w:t>（QB</w:t>
            </w:r>
            <w:r>
              <w:rPr>
                <w:bCs/>
                <w:color w:val="auto"/>
                <w:sz w:val="18"/>
                <w:szCs w:val="18"/>
                <w:highlight w:val="none"/>
              </w:rPr>
              <w:t>30_</w:t>
            </w:r>
            <w:r>
              <w:rPr>
                <w:rFonts w:hint="eastAsia"/>
                <w:bCs/>
                <w:color w:val="auto"/>
                <w:sz w:val="18"/>
                <w:szCs w:val="18"/>
                <w:highlight w:val="none"/>
                <w:lang w:val="en-US" w:eastAsia="zh-CN"/>
              </w:rPr>
              <w:t>1</w:t>
            </w:r>
            <w:r>
              <w:rPr>
                <w:rFonts w:hint="eastAsia"/>
                <w:bCs/>
                <w:color w:val="auto"/>
                <w:sz w:val="18"/>
                <w:szCs w:val="18"/>
                <w:highlight w:val="none"/>
              </w:rPr>
              <w:t>）</w:t>
            </w:r>
            <w:r>
              <w:rPr>
                <w:bCs/>
                <w:color w:val="auto"/>
                <w:sz w:val="18"/>
                <w:szCs w:val="18"/>
                <w:highlight w:val="none"/>
              </w:rPr>
              <w:t>：</w:t>
            </w:r>
            <w:r>
              <w:rPr>
                <w:rFonts w:hint="eastAsia"/>
                <w:bCs/>
                <w:color w:val="auto"/>
                <w:sz w:val="18"/>
                <w:szCs w:val="18"/>
                <w:highlight w:val="none"/>
              </w:rPr>
              <w:t>________平方</w:t>
            </w:r>
            <w:r>
              <w:rPr>
                <w:bCs/>
                <w:color w:val="auto"/>
                <w:sz w:val="18"/>
                <w:szCs w:val="18"/>
                <w:highlight w:val="none"/>
              </w:rPr>
              <w:t>米</w:t>
            </w:r>
          </w:p>
          <w:p w14:paraId="0284CF7D">
            <w:pPr>
              <w:snapToGrid w:val="0"/>
              <w:spacing w:line="280" w:lineRule="exact"/>
              <w:rPr>
                <w:bCs/>
                <w:color w:val="auto"/>
                <w:sz w:val="18"/>
                <w:szCs w:val="18"/>
                <w:highlight w:val="none"/>
              </w:rPr>
            </w:pPr>
            <w:r>
              <w:rPr>
                <w:rFonts w:hint="eastAsia"/>
                <w:bCs/>
                <w:color w:val="auto"/>
                <w:sz w:val="18"/>
                <w:szCs w:val="18"/>
                <w:highlight w:val="none"/>
                <w:lang w:eastAsia="zh-CN"/>
              </w:rPr>
              <w:t>用于</w:t>
            </w:r>
            <w:r>
              <w:rPr>
                <w:rFonts w:hint="eastAsia"/>
                <w:bCs/>
                <w:color w:val="auto"/>
                <w:sz w:val="18"/>
                <w:szCs w:val="18"/>
                <w:highlight w:val="none"/>
              </w:rPr>
              <w:t>生产</w:t>
            </w:r>
            <w:r>
              <w:rPr>
                <w:rFonts w:hint="eastAsia"/>
                <w:bCs/>
                <w:color w:val="auto"/>
                <w:sz w:val="18"/>
                <w:szCs w:val="18"/>
                <w:highlight w:val="none"/>
                <w:lang w:eastAsia="zh-CN"/>
              </w:rPr>
              <w:t>的建筑</w:t>
            </w:r>
            <w:r>
              <w:rPr>
                <w:bCs/>
                <w:color w:val="auto"/>
                <w:sz w:val="18"/>
                <w:szCs w:val="18"/>
                <w:highlight w:val="none"/>
              </w:rPr>
              <w:t>面积</w:t>
            </w:r>
            <w:r>
              <w:rPr>
                <w:rFonts w:hint="eastAsia"/>
                <w:bCs/>
                <w:color w:val="auto"/>
                <w:sz w:val="18"/>
                <w:szCs w:val="18"/>
                <w:highlight w:val="none"/>
              </w:rPr>
              <w:t>（QB</w:t>
            </w:r>
            <w:r>
              <w:rPr>
                <w:bCs/>
                <w:color w:val="auto"/>
                <w:sz w:val="18"/>
                <w:szCs w:val="18"/>
                <w:highlight w:val="none"/>
              </w:rPr>
              <w:t>30_2</w:t>
            </w:r>
            <w:r>
              <w:rPr>
                <w:rFonts w:hint="eastAsia"/>
                <w:bCs/>
                <w:color w:val="auto"/>
                <w:sz w:val="18"/>
                <w:szCs w:val="18"/>
                <w:highlight w:val="none"/>
              </w:rPr>
              <w:t>）</w:t>
            </w:r>
            <w:r>
              <w:rPr>
                <w:bCs/>
                <w:color w:val="auto"/>
                <w:sz w:val="18"/>
                <w:szCs w:val="18"/>
                <w:highlight w:val="none"/>
              </w:rPr>
              <w:t>：</w:t>
            </w:r>
            <w:r>
              <w:rPr>
                <w:rFonts w:hint="eastAsia"/>
                <w:bCs/>
                <w:color w:val="auto"/>
                <w:sz w:val="18"/>
                <w:szCs w:val="18"/>
                <w:highlight w:val="none"/>
              </w:rPr>
              <w:t>________平方</w:t>
            </w:r>
            <w:r>
              <w:rPr>
                <w:bCs/>
                <w:color w:val="auto"/>
                <w:sz w:val="18"/>
                <w:szCs w:val="18"/>
                <w:highlight w:val="none"/>
              </w:rPr>
              <w:t>米</w:t>
            </w:r>
          </w:p>
          <w:p w14:paraId="4AD4055A">
            <w:pPr>
              <w:snapToGrid w:val="0"/>
              <w:spacing w:line="280" w:lineRule="exact"/>
              <w:rPr>
                <w:rFonts w:hint="eastAsia" w:eastAsia="宋体"/>
                <w:bCs/>
                <w:color w:val="auto"/>
                <w:sz w:val="18"/>
                <w:szCs w:val="18"/>
                <w:highlight w:val="none"/>
                <w:lang w:eastAsia="zh-CN"/>
              </w:rPr>
            </w:pPr>
            <w:r>
              <w:rPr>
                <w:rFonts w:hint="eastAsia"/>
                <w:bCs/>
                <w:color w:val="auto"/>
                <w:sz w:val="18"/>
                <w:szCs w:val="18"/>
                <w:highlight w:val="none"/>
                <w:lang w:eastAsia="zh-CN"/>
              </w:rPr>
              <w:t>用于研发的建筑面积</w:t>
            </w:r>
            <w:r>
              <w:rPr>
                <w:rFonts w:hint="eastAsia"/>
                <w:bCs/>
                <w:color w:val="auto"/>
                <w:sz w:val="18"/>
                <w:szCs w:val="18"/>
                <w:highlight w:val="none"/>
              </w:rPr>
              <w:t>（QB</w:t>
            </w:r>
            <w:r>
              <w:rPr>
                <w:bCs/>
                <w:color w:val="auto"/>
                <w:sz w:val="18"/>
                <w:szCs w:val="18"/>
                <w:highlight w:val="none"/>
              </w:rPr>
              <w:t>30_</w:t>
            </w:r>
            <w:r>
              <w:rPr>
                <w:rFonts w:hint="eastAsia"/>
                <w:bCs/>
                <w:color w:val="auto"/>
                <w:sz w:val="18"/>
                <w:szCs w:val="18"/>
                <w:highlight w:val="none"/>
                <w:lang w:val="en-US" w:eastAsia="zh-CN"/>
              </w:rPr>
              <w:t>3</w:t>
            </w:r>
            <w:r>
              <w:rPr>
                <w:rFonts w:hint="eastAsia"/>
                <w:bCs/>
                <w:color w:val="auto"/>
                <w:sz w:val="18"/>
                <w:szCs w:val="18"/>
                <w:highlight w:val="none"/>
              </w:rPr>
              <w:t>）</w:t>
            </w:r>
            <w:r>
              <w:rPr>
                <w:bCs/>
                <w:color w:val="auto"/>
                <w:sz w:val="18"/>
                <w:szCs w:val="18"/>
                <w:highlight w:val="none"/>
              </w:rPr>
              <w:t>：</w:t>
            </w:r>
            <w:r>
              <w:rPr>
                <w:rFonts w:hint="eastAsia"/>
                <w:bCs/>
                <w:color w:val="auto"/>
                <w:sz w:val="18"/>
                <w:szCs w:val="18"/>
                <w:highlight w:val="none"/>
              </w:rPr>
              <w:t>________平方</w:t>
            </w:r>
            <w:r>
              <w:rPr>
                <w:bCs/>
                <w:color w:val="auto"/>
                <w:sz w:val="18"/>
                <w:szCs w:val="18"/>
                <w:highlight w:val="none"/>
              </w:rPr>
              <w:t>米</w:t>
            </w:r>
          </w:p>
        </w:tc>
      </w:tr>
      <w:tr w14:paraId="44EC2F4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5BC1E169">
            <w:pPr>
              <w:snapToGrid w:val="0"/>
              <w:spacing w:line="280" w:lineRule="exact"/>
              <w:jc w:val="center"/>
              <w:rPr>
                <w:bCs/>
                <w:color w:val="auto"/>
                <w:sz w:val="18"/>
                <w:szCs w:val="18"/>
                <w:highlight w:val="none"/>
              </w:rPr>
            </w:pPr>
            <w:r>
              <w:rPr>
                <w:bCs/>
                <w:color w:val="auto"/>
                <w:sz w:val="18"/>
                <w:szCs w:val="18"/>
                <w:highlight w:val="none"/>
              </w:rPr>
              <w:t xml:space="preserve">QB09 </w:t>
            </w:r>
          </w:p>
          <w:p w14:paraId="13580903">
            <w:pPr>
              <w:snapToGrid w:val="0"/>
              <w:spacing w:line="280" w:lineRule="exact"/>
              <w:jc w:val="center"/>
              <w:rPr>
                <w:bCs/>
                <w:color w:val="auto"/>
                <w:sz w:val="18"/>
                <w:szCs w:val="18"/>
                <w:highlight w:val="none"/>
              </w:rPr>
            </w:pPr>
          </w:p>
          <w:p w14:paraId="28A1F54B">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QB10</w:t>
            </w:r>
          </w:p>
        </w:tc>
        <w:tc>
          <w:tcPr>
            <w:tcW w:w="8974" w:type="dxa"/>
            <w:tcBorders>
              <w:top w:val="single" w:color="auto" w:sz="4" w:space="0"/>
              <w:left w:val="single" w:color="auto" w:sz="2" w:space="0"/>
              <w:bottom w:val="single" w:color="auto" w:sz="4" w:space="0"/>
              <w:right w:val="nil"/>
            </w:tcBorders>
            <w:noWrap w:val="0"/>
            <w:vAlign w:val="center"/>
          </w:tcPr>
          <w:p w14:paraId="06AB43FE">
            <w:pPr>
              <w:spacing w:line="280" w:lineRule="exact"/>
              <w:rPr>
                <w:bCs/>
                <w:color w:val="auto"/>
                <w:sz w:val="18"/>
                <w:szCs w:val="18"/>
                <w:highlight w:val="none"/>
              </w:rPr>
            </w:pPr>
            <w:r>
              <w:rPr>
                <w:rFonts w:hint="eastAsia"/>
                <w:bCs/>
                <w:color w:val="auto"/>
                <w:sz w:val="18"/>
                <w:szCs w:val="18"/>
                <w:highlight w:val="none"/>
              </w:rPr>
              <w:t>企业集团情况（QB09）（限企业集团母公司及成员企业填写）：本企业是□</w:t>
            </w:r>
          </w:p>
          <w:p w14:paraId="4C91DC0E">
            <w:pPr>
              <w:spacing w:line="280" w:lineRule="exact"/>
              <w:rPr>
                <w:bCs/>
                <w:color w:val="auto"/>
                <w:sz w:val="18"/>
                <w:szCs w:val="18"/>
                <w:highlight w:val="none"/>
              </w:rPr>
            </w:pPr>
            <w:r>
              <w:rPr>
                <w:rFonts w:hint="eastAsia"/>
                <w:bCs/>
                <w:color w:val="auto"/>
                <w:kern w:val="0"/>
                <w:sz w:val="18"/>
                <w:szCs w:val="18"/>
                <w:highlight w:val="none"/>
              </w:rPr>
              <w:t>1集团母公司</w:t>
            </w:r>
            <w:r>
              <w:rPr>
                <w:rFonts w:hint="eastAsia"/>
                <w:bCs/>
                <w:color w:val="auto"/>
                <w:sz w:val="18"/>
                <w:szCs w:val="18"/>
                <w:highlight w:val="none"/>
              </w:rPr>
              <w:t>(核心企业或集团总部)</w:t>
            </w:r>
            <w:r>
              <w:rPr>
                <w:rFonts w:hint="eastAsia"/>
                <w:bCs/>
                <w:color w:val="auto"/>
                <w:sz w:val="18"/>
                <w:szCs w:val="18"/>
                <w:highlight w:val="none"/>
                <w:lang w:val="en-US" w:eastAsia="zh-CN"/>
              </w:rPr>
              <w:t xml:space="preserve">    </w:t>
            </w:r>
            <w:r>
              <w:rPr>
                <w:rFonts w:hint="eastAsia"/>
                <w:bCs/>
                <w:color w:val="auto"/>
                <w:sz w:val="18"/>
                <w:szCs w:val="18"/>
                <w:highlight w:val="none"/>
              </w:rPr>
              <w:t>2企业集团的成员企业</w:t>
            </w:r>
          </w:p>
          <w:p w14:paraId="6D4DEB20">
            <w:pPr>
              <w:snapToGrid w:val="0"/>
              <w:spacing w:line="280" w:lineRule="exact"/>
              <w:rPr>
                <w:bCs/>
                <w:color w:val="auto"/>
                <w:sz w:val="18"/>
                <w:szCs w:val="18"/>
                <w:highlight w:val="none"/>
              </w:rPr>
            </w:pPr>
            <w:r>
              <w:rPr>
                <w:rFonts w:hint="eastAsia"/>
                <w:bCs/>
                <w:color w:val="auto"/>
                <w:sz w:val="18"/>
                <w:szCs w:val="18"/>
                <w:highlight w:val="none"/>
              </w:rPr>
              <w:t>如为2，请填直接上级法人单位统一社会信用代码（QB10）</w:t>
            </w:r>
          </w:p>
          <w:p w14:paraId="561A85E7">
            <w:pPr>
              <w:snapToGrid w:val="0"/>
              <w:spacing w:line="280" w:lineRule="exact"/>
              <w:rPr>
                <w:bCs/>
                <w:color w:val="auto"/>
                <w:sz w:val="18"/>
                <w:szCs w:val="18"/>
                <w:highlight w:val="none"/>
              </w:rPr>
            </w:pPr>
            <w:r>
              <w:rPr>
                <w:rFonts w:hint="eastAsia"/>
                <w:bCs/>
                <w:color w:val="auto"/>
                <w:sz w:val="18"/>
                <w:szCs w:val="18"/>
                <w:highlight w:val="none"/>
              </w:rPr>
              <w:t>□□□□□□□□□□□□□□□□□□</w:t>
            </w:r>
            <w:r>
              <w:rPr>
                <w:rFonts w:hint="eastAsia"/>
                <w:bCs/>
                <w:color w:val="auto"/>
                <w:sz w:val="18"/>
                <w:szCs w:val="18"/>
                <w:highlight w:val="none"/>
                <w:lang w:val="en-US" w:eastAsia="zh-CN"/>
              </w:rPr>
              <w:t xml:space="preserve">  </w:t>
            </w:r>
            <w:r>
              <w:rPr>
                <w:rFonts w:hint="eastAsia"/>
                <w:bCs/>
                <w:color w:val="auto"/>
                <w:sz w:val="18"/>
                <w:szCs w:val="18"/>
                <w:highlight w:val="none"/>
              </w:rPr>
              <w:t>或上级法人单位组织机构代码□□□□□□□□—□</w:t>
            </w:r>
          </w:p>
          <w:p w14:paraId="275B7EDD">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如上级法人为境外公司，请填写境外公司的名称</w:t>
            </w:r>
          </w:p>
        </w:tc>
      </w:tr>
      <w:tr w14:paraId="6CD606C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shd w:val="clear" w:color="auto" w:fill="D9D9D9"/>
            <w:noWrap w:val="0"/>
            <w:vAlign w:val="center"/>
          </w:tcPr>
          <w:p w14:paraId="1F9DFDA5">
            <w:pPr>
              <w:snapToGrid w:val="0"/>
              <w:spacing w:line="280" w:lineRule="exact"/>
              <w:jc w:val="center"/>
              <w:rPr>
                <w:bCs/>
                <w:color w:val="auto"/>
                <w:sz w:val="18"/>
                <w:szCs w:val="18"/>
                <w:highlight w:val="none"/>
              </w:rPr>
            </w:pPr>
            <w:r>
              <w:rPr>
                <w:bCs/>
                <w:color w:val="auto"/>
                <w:sz w:val="18"/>
                <w:szCs w:val="18"/>
                <w:highlight w:val="none"/>
              </w:rPr>
              <w:t>QB11</w:t>
            </w:r>
          </w:p>
          <w:p w14:paraId="2D4DAA52">
            <w:pPr>
              <w:snapToGrid w:val="0"/>
              <w:spacing w:line="280" w:lineRule="exact"/>
              <w:jc w:val="center"/>
              <w:rPr>
                <w:bCs/>
                <w:color w:val="auto"/>
                <w:sz w:val="18"/>
                <w:szCs w:val="18"/>
                <w:highlight w:val="none"/>
              </w:rPr>
            </w:pPr>
            <w:r>
              <w:rPr>
                <w:bCs/>
                <w:color w:val="auto"/>
                <w:sz w:val="18"/>
                <w:szCs w:val="18"/>
                <w:highlight w:val="none"/>
              </w:rPr>
              <w:t>QB13</w:t>
            </w:r>
          </w:p>
          <w:p w14:paraId="2C58368E">
            <w:pPr>
              <w:snapToGrid w:val="0"/>
              <w:spacing w:line="280" w:lineRule="exact"/>
              <w:jc w:val="center"/>
              <w:rPr>
                <w:rFonts w:ascii="Times New Roman" w:hAnsi="Times New Roman"/>
                <w:bCs/>
                <w:color w:val="auto"/>
                <w:highlight w:val="none"/>
              </w:rPr>
            </w:pPr>
            <w:r>
              <w:rPr>
                <w:bCs/>
                <w:color w:val="auto"/>
                <w:sz w:val="18"/>
                <w:szCs w:val="18"/>
                <w:highlight w:val="none"/>
              </w:rPr>
              <w:t>QB12</w:t>
            </w:r>
          </w:p>
        </w:tc>
        <w:tc>
          <w:tcPr>
            <w:tcW w:w="8974" w:type="dxa"/>
            <w:tcBorders>
              <w:top w:val="single" w:color="auto" w:sz="4" w:space="0"/>
              <w:left w:val="single" w:color="auto" w:sz="2" w:space="0"/>
              <w:bottom w:val="single" w:color="auto" w:sz="4" w:space="0"/>
              <w:right w:val="nil"/>
            </w:tcBorders>
            <w:shd w:val="clear" w:color="auto" w:fill="D9D9D9"/>
            <w:noWrap w:val="0"/>
            <w:vAlign w:val="center"/>
          </w:tcPr>
          <w:p w14:paraId="0735F09B">
            <w:pPr>
              <w:snapToGrid w:val="0"/>
              <w:spacing w:line="280" w:lineRule="exact"/>
              <w:jc w:val="left"/>
              <w:rPr>
                <w:rFonts w:ascii="宋体" w:hAnsi="宋体" w:cs="宋体"/>
                <w:bCs/>
                <w:color w:val="auto"/>
                <w:sz w:val="18"/>
                <w:szCs w:val="18"/>
                <w:highlight w:val="none"/>
              </w:rPr>
            </w:pPr>
            <w:r>
              <w:rPr>
                <w:rFonts w:hint="eastAsia" w:ascii="宋体" w:hAnsi="宋体" w:cs="宋体"/>
                <w:bCs/>
                <w:color w:val="auto"/>
                <w:sz w:val="18"/>
                <w:szCs w:val="18"/>
                <w:highlight w:val="none"/>
              </w:rPr>
              <w:t>企业是否为</w:t>
            </w:r>
            <w:r>
              <w:rPr>
                <w:rFonts w:hint="eastAsia" w:ascii="Arial" w:hAnsi="Arial" w:cs="Arial"/>
                <w:bCs/>
                <w:color w:val="auto"/>
                <w:kern w:val="0"/>
                <w:sz w:val="18"/>
                <w:szCs w:val="18"/>
                <w:highlight w:val="none"/>
              </w:rPr>
              <w:t>经过认定的高新技术企业</w:t>
            </w:r>
            <w:r>
              <w:rPr>
                <w:rFonts w:hint="eastAsia" w:ascii="Arial" w:hAnsi="Arial" w:cs="Arial"/>
                <w:bCs/>
                <w:color w:val="auto"/>
                <w:spacing w:val="15"/>
                <w:kern w:val="0"/>
                <w:sz w:val="18"/>
                <w:szCs w:val="18"/>
                <w:highlight w:val="none"/>
              </w:rPr>
              <w:t>（</w:t>
            </w:r>
            <w:r>
              <w:rPr>
                <w:rFonts w:ascii="宋体" w:hAnsi="宋体" w:cs="宋体"/>
                <w:bCs/>
                <w:color w:val="auto"/>
                <w:sz w:val="18"/>
                <w:szCs w:val="18"/>
                <w:highlight w:val="none"/>
              </w:rPr>
              <w:t>QB11）</w:t>
            </w:r>
            <w:r>
              <w:rPr>
                <w:rFonts w:hint="eastAsia" w:ascii="宋体" w:hAnsi="宋体" w:cs="宋体"/>
                <w:bCs/>
                <w:color w:val="auto"/>
                <w:sz w:val="18"/>
                <w:szCs w:val="18"/>
                <w:highlight w:val="none"/>
                <w:lang w:eastAsia="zh-CN"/>
              </w:rPr>
              <w:t>□</w:t>
            </w:r>
            <w:r>
              <w:rPr>
                <w:rFonts w:ascii="宋体" w:hAnsi="宋体" w:cs="宋体"/>
                <w:bCs/>
                <w:color w:val="auto"/>
                <w:sz w:val="18"/>
                <w:szCs w:val="18"/>
                <w:highlight w:val="none"/>
              </w:rPr>
              <w:t xml:space="preserve">      1.是    2.否</w:t>
            </w:r>
            <w:r>
              <w:rPr>
                <w:rFonts w:hint="eastAsia" w:ascii="宋体" w:hAnsi="宋体" w:cs="宋体"/>
                <w:bCs/>
                <w:color w:val="auto"/>
                <w:sz w:val="18"/>
                <w:szCs w:val="18"/>
                <w:highlight w:val="none"/>
              </w:rPr>
              <w:t>（系统</w:t>
            </w:r>
            <w:r>
              <w:rPr>
                <w:rFonts w:ascii="宋体" w:hAnsi="宋体" w:cs="宋体"/>
                <w:bCs/>
                <w:color w:val="auto"/>
                <w:sz w:val="18"/>
                <w:szCs w:val="18"/>
                <w:highlight w:val="none"/>
              </w:rPr>
              <w:t>自动识别</w:t>
            </w:r>
            <w:r>
              <w:rPr>
                <w:rFonts w:hint="eastAsia" w:ascii="宋体" w:hAnsi="宋体" w:cs="宋体"/>
                <w:bCs/>
                <w:color w:val="auto"/>
                <w:sz w:val="18"/>
                <w:szCs w:val="18"/>
                <w:highlight w:val="none"/>
              </w:rPr>
              <w:t>）</w:t>
            </w:r>
          </w:p>
          <w:p w14:paraId="2B29B8A0">
            <w:pPr>
              <w:snapToGrid w:val="0"/>
              <w:spacing w:line="280" w:lineRule="exact"/>
              <w:rPr>
                <w:rFonts w:ascii="宋体" w:hAnsi="宋体" w:cs="宋体"/>
                <w:bCs/>
                <w:color w:val="auto"/>
                <w:sz w:val="18"/>
                <w:szCs w:val="18"/>
                <w:highlight w:val="none"/>
              </w:rPr>
            </w:pPr>
            <w:r>
              <w:rPr>
                <w:rFonts w:hint="eastAsia" w:ascii="宋体" w:hAnsi="宋体" w:cs="宋体"/>
                <w:bCs/>
                <w:color w:val="auto"/>
                <w:sz w:val="18"/>
                <w:szCs w:val="18"/>
                <w:highlight w:val="none"/>
              </w:rPr>
              <w:t>如是，高新技术企业认定证书编号（</w:t>
            </w:r>
            <w:r>
              <w:rPr>
                <w:rFonts w:ascii="宋体" w:hAnsi="宋体" w:cs="宋体"/>
                <w:bCs/>
                <w:color w:val="auto"/>
                <w:sz w:val="18"/>
                <w:szCs w:val="18"/>
                <w:highlight w:val="none"/>
              </w:rPr>
              <w:t xml:space="preserve">QB13）  </w:t>
            </w:r>
            <w:r>
              <w:rPr>
                <w:rFonts w:hint="eastAsia" w:ascii="宋体" w:hAnsi="宋体" w:cs="宋体"/>
                <w:bCs/>
                <w:color w:val="auto"/>
                <w:sz w:val="18"/>
                <w:szCs w:val="18"/>
                <w:highlight w:val="none"/>
              </w:rPr>
              <w:t>□□□□□□□□□□□□□□（系统</w:t>
            </w:r>
            <w:r>
              <w:rPr>
                <w:rFonts w:ascii="宋体" w:hAnsi="宋体" w:cs="宋体"/>
                <w:bCs/>
                <w:color w:val="auto"/>
                <w:sz w:val="18"/>
                <w:szCs w:val="18"/>
                <w:highlight w:val="none"/>
              </w:rPr>
              <w:t>自动识别</w:t>
            </w:r>
            <w:r>
              <w:rPr>
                <w:rFonts w:hint="eastAsia" w:ascii="宋体" w:hAnsi="宋体" w:cs="宋体"/>
                <w:bCs/>
                <w:color w:val="auto"/>
                <w:sz w:val="18"/>
                <w:szCs w:val="18"/>
                <w:highlight w:val="none"/>
              </w:rPr>
              <w:t>）</w:t>
            </w:r>
          </w:p>
          <w:p w14:paraId="0B7320FF">
            <w:pPr>
              <w:snapToGrid w:val="0"/>
              <w:spacing w:line="280" w:lineRule="exact"/>
              <w:jc w:val="left"/>
              <w:rPr>
                <w:rFonts w:ascii="Times New Roman" w:hAnsi="Times New Roman"/>
                <w:bCs/>
                <w:color w:val="auto"/>
                <w:highlight w:val="none"/>
              </w:rPr>
            </w:pPr>
            <w:r>
              <w:rPr>
                <w:rFonts w:hint="eastAsia" w:ascii="Arial" w:hAnsi="Arial" w:cs="Arial"/>
                <w:bCs/>
                <w:color w:val="auto"/>
                <w:kern w:val="0"/>
                <w:sz w:val="18"/>
                <w:szCs w:val="18"/>
                <w:highlight w:val="none"/>
              </w:rPr>
              <w:t>企业被认定为高新技术企业的时间□□□□年</w:t>
            </w:r>
            <w:r>
              <w:rPr>
                <w:rFonts w:hint="eastAsia" w:ascii="宋体" w:hAnsi="宋体" w:cs="宋体"/>
                <w:bCs/>
                <w:color w:val="auto"/>
                <w:sz w:val="18"/>
                <w:szCs w:val="18"/>
                <w:highlight w:val="none"/>
              </w:rPr>
              <w:t>（系统</w:t>
            </w:r>
            <w:r>
              <w:rPr>
                <w:rFonts w:ascii="宋体" w:hAnsi="宋体" w:cs="宋体"/>
                <w:bCs/>
                <w:color w:val="auto"/>
                <w:sz w:val="18"/>
                <w:szCs w:val="18"/>
                <w:highlight w:val="none"/>
              </w:rPr>
              <w:t>自动识别</w:t>
            </w:r>
            <w:r>
              <w:rPr>
                <w:rFonts w:hint="eastAsia" w:ascii="宋体" w:hAnsi="宋体" w:cs="宋体"/>
                <w:bCs/>
                <w:color w:val="auto"/>
                <w:sz w:val="18"/>
                <w:szCs w:val="18"/>
                <w:highlight w:val="none"/>
              </w:rPr>
              <w:t>）</w:t>
            </w:r>
          </w:p>
        </w:tc>
      </w:tr>
      <w:tr w14:paraId="6414F7F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084C8C36">
            <w:pPr>
              <w:snapToGrid w:val="0"/>
              <w:spacing w:line="280" w:lineRule="exact"/>
              <w:jc w:val="center"/>
              <w:rPr>
                <w:bCs/>
                <w:color w:val="auto"/>
                <w:sz w:val="18"/>
                <w:szCs w:val="18"/>
                <w:highlight w:val="none"/>
              </w:rPr>
            </w:pPr>
            <w:r>
              <w:rPr>
                <w:bCs/>
                <w:color w:val="auto"/>
                <w:sz w:val="18"/>
                <w:szCs w:val="18"/>
                <w:highlight w:val="none"/>
              </w:rPr>
              <w:t>QB14</w:t>
            </w:r>
          </w:p>
          <w:p w14:paraId="54924BA6">
            <w:pPr>
              <w:snapToGrid w:val="0"/>
              <w:spacing w:line="280" w:lineRule="exact"/>
              <w:jc w:val="center"/>
              <w:rPr>
                <w:bCs/>
                <w:color w:val="auto"/>
                <w:sz w:val="18"/>
                <w:szCs w:val="18"/>
                <w:highlight w:val="none"/>
              </w:rPr>
            </w:pPr>
            <w:r>
              <w:rPr>
                <w:bCs/>
                <w:color w:val="auto"/>
                <w:sz w:val="18"/>
                <w:szCs w:val="18"/>
                <w:highlight w:val="none"/>
              </w:rPr>
              <w:t>QB14_1</w:t>
            </w:r>
          </w:p>
          <w:p w14:paraId="5763B152">
            <w:pPr>
              <w:snapToGrid w:val="0"/>
              <w:spacing w:line="280" w:lineRule="exact"/>
              <w:jc w:val="center"/>
              <w:rPr>
                <w:rFonts w:ascii="Times New Roman" w:hAnsi="Times New Roman"/>
                <w:bCs/>
                <w:color w:val="auto"/>
                <w:sz w:val="18"/>
                <w:szCs w:val="18"/>
                <w:highlight w:val="none"/>
              </w:rPr>
            </w:pPr>
            <w:r>
              <w:rPr>
                <w:bCs/>
                <w:color w:val="auto"/>
                <w:sz w:val="18"/>
                <w:szCs w:val="18"/>
                <w:highlight w:val="none"/>
              </w:rPr>
              <w:t>QB14_2</w:t>
            </w:r>
          </w:p>
        </w:tc>
        <w:tc>
          <w:tcPr>
            <w:tcW w:w="8974" w:type="dxa"/>
            <w:tcBorders>
              <w:top w:val="single" w:color="auto" w:sz="4" w:space="0"/>
              <w:left w:val="single" w:color="auto" w:sz="2" w:space="0"/>
              <w:bottom w:val="single" w:color="auto" w:sz="4" w:space="0"/>
              <w:right w:val="nil"/>
            </w:tcBorders>
            <w:noWrap w:val="0"/>
            <w:vAlign w:val="center"/>
          </w:tcPr>
          <w:p w14:paraId="5366AC66">
            <w:pPr>
              <w:snapToGrid w:val="0"/>
              <w:spacing w:line="280" w:lineRule="exact"/>
              <w:jc w:val="left"/>
              <w:rPr>
                <w:bCs/>
                <w:color w:val="auto"/>
                <w:sz w:val="18"/>
                <w:szCs w:val="18"/>
                <w:highlight w:val="none"/>
              </w:rPr>
            </w:pPr>
            <w:r>
              <w:rPr>
                <w:rFonts w:hint="eastAsia"/>
                <w:bCs/>
                <w:color w:val="auto"/>
                <w:kern w:val="0"/>
                <w:sz w:val="18"/>
                <w:szCs w:val="18"/>
                <w:highlight w:val="none"/>
              </w:rPr>
              <w:t>与科技企业孵化器关系</w:t>
            </w:r>
            <w:r>
              <w:rPr>
                <w:rFonts w:ascii="宋体" w:hAnsi="宋体" w:eastAsia="宋体"/>
                <w:bCs/>
                <w:color w:val="auto"/>
                <w:spacing w:val="15"/>
                <w:kern w:val="0"/>
                <w:sz w:val="18"/>
                <w:szCs w:val="18"/>
                <w:highlight w:val="none"/>
              </w:rPr>
              <w:t>(</w:t>
            </w:r>
            <w:r>
              <w:rPr>
                <w:bCs/>
                <w:color w:val="auto"/>
                <w:sz w:val="18"/>
                <w:szCs w:val="18"/>
                <w:highlight w:val="none"/>
              </w:rPr>
              <w:t>QB14</w:t>
            </w:r>
            <w:r>
              <w:rPr>
                <w:rFonts w:ascii="宋体" w:hAnsi="宋体" w:eastAsia="宋体"/>
                <w:bCs/>
                <w:color w:val="auto"/>
                <w:sz w:val="18"/>
                <w:szCs w:val="18"/>
                <w:highlight w:val="none"/>
              </w:rPr>
              <w:t>)</w:t>
            </w:r>
            <w:r>
              <w:rPr>
                <w:rFonts w:hint="eastAsia"/>
                <w:bCs/>
                <w:color w:val="auto"/>
                <w:sz w:val="18"/>
                <w:szCs w:val="18"/>
                <w:highlight w:val="none"/>
              </w:rPr>
              <w:t>□</w:t>
            </w:r>
          </w:p>
          <w:p w14:paraId="4ACAA82B">
            <w:pPr>
              <w:snapToGrid w:val="0"/>
              <w:spacing w:line="280" w:lineRule="exact"/>
              <w:jc w:val="left"/>
              <w:rPr>
                <w:bCs/>
                <w:color w:val="auto"/>
                <w:sz w:val="18"/>
                <w:szCs w:val="18"/>
                <w:highlight w:val="none"/>
              </w:rPr>
            </w:pPr>
            <w:r>
              <w:rPr>
                <w:rFonts w:hint="eastAsia"/>
                <w:bCs/>
                <w:color w:val="auto"/>
                <w:sz w:val="18"/>
                <w:szCs w:val="18"/>
                <w:highlight w:val="none"/>
              </w:rPr>
              <w:t xml:space="preserve">      1.孵化器在孵企业入孵时间</w:t>
            </w:r>
            <w:r>
              <w:rPr>
                <w:rFonts w:hint="eastAsia" w:ascii="宋体" w:hAnsi="宋体" w:eastAsia="宋体"/>
                <w:bCs/>
                <w:color w:val="auto"/>
                <w:sz w:val="18"/>
                <w:szCs w:val="18"/>
                <w:highlight w:val="none"/>
              </w:rPr>
              <w:t>(</w:t>
            </w:r>
            <w:r>
              <w:rPr>
                <w:rFonts w:hint="eastAsia"/>
                <w:bCs/>
                <w:color w:val="auto"/>
                <w:sz w:val="18"/>
                <w:szCs w:val="18"/>
                <w:highlight w:val="none"/>
              </w:rPr>
              <w:t>QB14_1</w:t>
            </w:r>
            <w:r>
              <w:rPr>
                <w:rFonts w:hint="eastAsia" w:ascii="宋体" w:hAnsi="宋体" w:eastAsia="宋体"/>
                <w:bCs/>
                <w:color w:val="auto"/>
                <w:sz w:val="18"/>
                <w:szCs w:val="18"/>
                <w:highlight w:val="none"/>
              </w:rPr>
              <w:t>)</w:t>
            </w:r>
            <w:r>
              <w:rPr>
                <w:rFonts w:hint="eastAsia"/>
                <w:bCs/>
                <w:color w:val="auto"/>
                <w:sz w:val="18"/>
                <w:szCs w:val="18"/>
                <w:highlight w:val="none"/>
              </w:rPr>
              <w:t xml:space="preserve">  □□□□年</w:t>
            </w:r>
          </w:p>
          <w:p w14:paraId="61B520B1">
            <w:pPr>
              <w:snapToGrid w:val="0"/>
              <w:spacing w:line="280" w:lineRule="exact"/>
              <w:rPr>
                <w:bCs/>
                <w:color w:val="auto"/>
                <w:sz w:val="18"/>
                <w:szCs w:val="18"/>
                <w:highlight w:val="none"/>
              </w:rPr>
            </w:pPr>
            <w:r>
              <w:rPr>
                <w:rFonts w:hint="eastAsia"/>
                <w:bCs/>
                <w:color w:val="auto"/>
                <w:sz w:val="18"/>
                <w:szCs w:val="18"/>
                <w:highlight w:val="none"/>
              </w:rPr>
              <w:t xml:space="preserve">      2.孵化器毕业企业毕业时间</w:t>
            </w:r>
            <w:r>
              <w:rPr>
                <w:rFonts w:hint="eastAsia" w:ascii="宋体" w:hAnsi="宋体" w:eastAsia="宋体"/>
                <w:bCs/>
                <w:color w:val="auto"/>
                <w:sz w:val="18"/>
                <w:szCs w:val="18"/>
                <w:highlight w:val="none"/>
              </w:rPr>
              <w:t>(</w:t>
            </w:r>
            <w:r>
              <w:rPr>
                <w:rFonts w:hint="eastAsia"/>
                <w:bCs/>
                <w:color w:val="auto"/>
                <w:sz w:val="18"/>
                <w:szCs w:val="18"/>
                <w:highlight w:val="none"/>
              </w:rPr>
              <w:t>QB14_2</w:t>
            </w:r>
            <w:r>
              <w:rPr>
                <w:rFonts w:hint="eastAsia" w:ascii="宋体" w:hAnsi="宋体" w:eastAsia="宋体"/>
                <w:bCs/>
                <w:color w:val="auto"/>
                <w:sz w:val="18"/>
                <w:szCs w:val="18"/>
                <w:highlight w:val="none"/>
              </w:rPr>
              <w:t>)</w:t>
            </w:r>
            <w:r>
              <w:rPr>
                <w:rFonts w:hint="eastAsia"/>
                <w:bCs/>
                <w:color w:val="auto"/>
                <w:sz w:val="18"/>
                <w:szCs w:val="18"/>
                <w:highlight w:val="none"/>
              </w:rPr>
              <w:t xml:space="preserve">  □□□□年</w:t>
            </w:r>
          </w:p>
          <w:p w14:paraId="3D940CB0">
            <w:pPr>
              <w:snapToGrid w:val="0"/>
              <w:spacing w:line="280" w:lineRule="exact"/>
              <w:rPr>
                <w:rFonts w:ascii="Times New Roman" w:hAnsi="Times New Roman"/>
                <w:bCs/>
                <w:color w:val="auto"/>
                <w:sz w:val="18"/>
                <w:szCs w:val="18"/>
                <w:highlight w:val="none"/>
              </w:rPr>
            </w:pPr>
            <w:r>
              <w:rPr>
                <w:rFonts w:hint="eastAsia"/>
                <w:bCs/>
                <w:color w:val="auto"/>
                <w:sz w:val="18"/>
                <w:szCs w:val="18"/>
                <w:highlight w:val="none"/>
              </w:rPr>
              <w:t xml:space="preserve">      3.与孵化器无关</w:t>
            </w:r>
          </w:p>
        </w:tc>
      </w:tr>
      <w:tr w14:paraId="5760EE60">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19E08533">
            <w:pPr>
              <w:snapToGrid w:val="0"/>
              <w:spacing w:line="280" w:lineRule="exact"/>
              <w:ind w:firstLine="90" w:firstLineChars="50"/>
              <w:jc w:val="center"/>
              <w:rPr>
                <w:bCs/>
                <w:color w:val="auto"/>
                <w:sz w:val="18"/>
                <w:szCs w:val="18"/>
                <w:highlight w:val="none"/>
              </w:rPr>
            </w:pPr>
            <w:r>
              <w:rPr>
                <w:bCs/>
                <w:color w:val="auto"/>
                <w:sz w:val="18"/>
                <w:szCs w:val="18"/>
                <w:highlight w:val="none"/>
              </w:rPr>
              <w:t>QB15</w:t>
            </w:r>
          </w:p>
          <w:p w14:paraId="1E120B05">
            <w:pPr>
              <w:pStyle w:val="9"/>
              <w:spacing w:after="0" w:line="280" w:lineRule="exact"/>
              <w:jc w:val="center"/>
              <w:rPr>
                <w:bCs/>
                <w:color w:val="auto"/>
                <w:highlight w:val="none"/>
              </w:rPr>
            </w:pPr>
          </w:p>
          <w:p w14:paraId="2D579C1E">
            <w:pPr>
              <w:snapToGrid w:val="0"/>
              <w:spacing w:line="280" w:lineRule="exact"/>
              <w:jc w:val="center"/>
              <w:rPr>
                <w:bCs/>
                <w:color w:val="auto"/>
                <w:sz w:val="18"/>
                <w:szCs w:val="18"/>
                <w:highlight w:val="none"/>
              </w:rPr>
            </w:pPr>
            <w:r>
              <w:rPr>
                <w:bCs/>
                <w:color w:val="auto"/>
                <w:sz w:val="18"/>
                <w:szCs w:val="18"/>
                <w:highlight w:val="none"/>
              </w:rPr>
              <w:t>QB15_1</w:t>
            </w:r>
          </w:p>
          <w:p w14:paraId="19296328">
            <w:pPr>
              <w:pStyle w:val="9"/>
              <w:spacing w:after="0" w:line="280" w:lineRule="exact"/>
              <w:jc w:val="center"/>
              <w:rPr>
                <w:bCs/>
                <w:color w:val="auto"/>
                <w:highlight w:val="none"/>
              </w:rPr>
            </w:pPr>
          </w:p>
          <w:p w14:paraId="71040146">
            <w:pPr>
              <w:snapToGrid w:val="0"/>
              <w:spacing w:line="280" w:lineRule="exact"/>
              <w:jc w:val="center"/>
              <w:rPr>
                <w:bCs/>
                <w:color w:val="auto"/>
                <w:sz w:val="18"/>
                <w:szCs w:val="18"/>
                <w:highlight w:val="none"/>
              </w:rPr>
            </w:pPr>
            <w:r>
              <w:rPr>
                <w:bCs/>
                <w:color w:val="auto"/>
                <w:sz w:val="18"/>
                <w:szCs w:val="18"/>
                <w:highlight w:val="none"/>
              </w:rPr>
              <w:t>QB15_2</w:t>
            </w:r>
          </w:p>
          <w:p w14:paraId="2C382CFD">
            <w:pPr>
              <w:snapToGrid w:val="0"/>
              <w:spacing w:line="280" w:lineRule="exact"/>
              <w:rPr>
                <w:rFonts w:ascii="Times New Roman" w:hAnsi="Times New Roman"/>
                <w:bCs/>
                <w:color w:val="auto"/>
                <w:highlight w:val="none"/>
              </w:rPr>
            </w:pPr>
            <w:r>
              <w:rPr>
                <w:bCs/>
                <w:color w:val="auto"/>
                <w:sz w:val="18"/>
                <w:szCs w:val="18"/>
                <w:highlight w:val="none"/>
              </w:rPr>
              <w:t>QB15_5</w:t>
            </w:r>
          </w:p>
        </w:tc>
        <w:tc>
          <w:tcPr>
            <w:tcW w:w="8974" w:type="dxa"/>
            <w:tcBorders>
              <w:top w:val="single" w:color="auto" w:sz="4" w:space="0"/>
              <w:left w:val="single" w:color="auto" w:sz="2" w:space="0"/>
              <w:bottom w:val="single" w:color="auto" w:sz="4" w:space="0"/>
              <w:right w:val="nil"/>
            </w:tcBorders>
            <w:noWrap w:val="0"/>
            <w:vAlign w:val="center"/>
          </w:tcPr>
          <w:p w14:paraId="50C9F1E5">
            <w:pPr>
              <w:pStyle w:val="9"/>
              <w:spacing w:after="0" w:line="280" w:lineRule="exact"/>
              <w:rPr>
                <w:bCs/>
                <w:color w:val="auto"/>
                <w:sz w:val="18"/>
                <w:szCs w:val="18"/>
                <w:highlight w:val="none"/>
              </w:rPr>
            </w:pPr>
            <w:r>
              <w:rPr>
                <w:rFonts w:hint="eastAsia"/>
                <w:bCs/>
                <w:color w:val="auto"/>
                <w:sz w:val="18"/>
                <w:szCs w:val="18"/>
                <w:highlight w:val="none"/>
              </w:rPr>
              <w:t>境外上市情况（QB15）□</w:t>
            </w:r>
            <w:r>
              <w:rPr>
                <w:rFonts w:hint="eastAsia"/>
                <w:bCs/>
                <w:color w:val="auto"/>
                <w:sz w:val="18"/>
                <w:szCs w:val="18"/>
                <w:highlight w:val="none"/>
                <w:lang w:val="en-US" w:eastAsia="zh-CN"/>
              </w:rPr>
              <w:t xml:space="preserve">    </w:t>
            </w:r>
            <w:r>
              <w:rPr>
                <w:rFonts w:hint="eastAsia"/>
                <w:bCs/>
                <w:color w:val="auto"/>
                <w:sz w:val="18"/>
                <w:szCs w:val="18"/>
                <w:highlight w:val="none"/>
              </w:rPr>
              <w:t>3.新加坡4.香港5.纳斯达克6.纽交所7.东京8.伦敦9其他海外市场</w:t>
            </w:r>
          </w:p>
          <w:p w14:paraId="50B28799">
            <w:pPr>
              <w:pStyle w:val="9"/>
              <w:spacing w:after="0" w:line="280" w:lineRule="exact"/>
              <w:rPr>
                <w:bCs/>
                <w:color w:val="auto"/>
                <w:sz w:val="18"/>
                <w:szCs w:val="18"/>
                <w:highlight w:val="none"/>
              </w:rPr>
            </w:pPr>
            <w:r>
              <w:rPr>
                <w:rFonts w:hint="eastAsia"/>
                <w:bCs/>
                <w:color w:val="auto"/>
                <w:sz w:val="18"/>
                <w:szCs w:val="18"/>
                <w:highlight w:val="none"/>
              </w:rPr>
              <w:t>证券代码（QB15_1）</w:t>
            </w:r>
          </w:p>
          <w:p w14:paraId="7EF4F76E">
            <w:pPr>
              <w:snapToGrid w:val="0"/>
              <w:spacing w:line="280" w:lineRule="exact"/>
              <w:rPr>
                <w:rFonts w:hint="eastAsia"/>
                <w:bCs/>
                <w:color w:val="auto"/>
                <w:sz w:val="18"/>
                <w:szCs w:val="18"/>
                <w:highlight w:val="none"/>
              </w:rPr>
            </w:pPr>
            <w:r>
              <w:rPr>
                <w:rFonts w:hint="eastAsia"/>
                <w:bCs/>
                <w:color w:val="auto"/>
                <w:sz w:val="18"/>
                <w:szCs w:val="18"/>
                <w:highlight w:val="none"/>
              </w:rPr>
              <w:t xml:space="preserve">3.□□□.SG或者□□□□.SG    4.□□□□□.HK  </w:t>
            </w:r>
          </w:p>
          <w:p w14:paraId="44C00814">
            <w:pPr>
              <w:snapToGrid w:val="0"/>
              <w:spacing w:line="280" w:lineRule="exact"/>
              <w:rPr>
                <w:bCs/>
                <w:color w:val="auto"/>
                <w:sz w:val="18"/>
                <w:szCs w:val="18"/>
                <w:highlight w:val="none"/>
              </w:rPr>
            </w:pPr>
            <w:r>
              <w:rPr>
                <w:rFonts w:hint="eastAsia"/>
                <w:bCs/>
                <w:color w:val="auto"/>
                <w:sz w:val="18"/>
                <w:szCs w:val="18"/>
                <w:highlight w:val="none"/>
              </w:rPr>
              <w:t xml:space="preserve">5.□□□□.O 或者□□□.O 或者□□.O 或者□□□□□.O </w:t>
            </w:r>
          </w:p>
          <w:p w14:paraId="330D8C97">
            <w:pPr>
              <w:snapToGrid w:val="0"/>
              <w:spacing w:line="280" w:lineRule="exact"/>
              <w:rPr>
                <w:bCs/>
                <w:color w:val="auto"/>
                <w:sz w:val="18"/>
                <w:szCs w:val="18"/>
                <w:highlight w:val="none"/>
              </w:rPr>
            </w:pPr>
            <w:r>
              <w:rPr>
                <w:rFonts w:hint="eastAsia"/>
                <w:bCs/>
                <w:color w:val="auto"/>
                <w:sz w:val="18"/>
                <w:szCs w:val="18"/>
                <w:highlight w:val="none"/>
              </w:rPr>
              <w:t>6.□□□□.N或者□□□.N或者□□.N</w:t>
            </w:r>
            <w:r>
              <w:rPr>
                <w:bCs/>
                <w:color w:val="auto"/>
                <w:sz w:val="18"/>
                <w:szCs w:val="18"/>
                <w:highlight w:val="none"/>
              </w:rPr>
              <w:t xml:space="preserve">  7. </w:t>
            </w:r>
            <w:r>
              <w:rPr>
                <w:rFonts w:hint="eastAsia"/>
                <w:bCs/>
                <w:color w:val="auto"/>
                <w:sz w:val="18"/>
                <w:szCs w:val="18"/>
                <w:highlight w:val="none"/>
              </w:rPr>
              <w:t>□□□□.T</w:t>
            </w:r>
            <w:r>
              <w:rPr>
                <w:bCs/>
                <w:color w:val="auto"/>
                <w:sz w:val="18"/>
                <w:szCs w:val="18"/>
                <w:highlight w:val="none"/>
              </w:rPr>
              <w:t xml:space="preserve">   8. </w:t>
            </w:r>
            <w:r>
              <w:rPr>
                <w:rFonts w:hint="eastAsia"/>
                <w:bCs/>
                <w:color w:val="auto"/>
                <w:sz w:val="18"/>
                <w:szCs w:val="18"/>
                <w:highlight w:val="none"/>
              </w:rPr>
              <w:t>□□□.L或者□□□□.L</w:t>
            </w:r>
            <w:r>
              <w:rPr>
                <w:bCs/>
                <w:color w:val="auto"/>
                <w:sz w:val="18"/>
                <w:szCs w:val="18"/>
                <w:highlight w:val="none"/>
              </w:rPr>
              <w:t xml:space="preserve">  </w:t>
            </w:r>
          </w:p>
          <w:p w14:paraId="2D0A4A71">
            <w:pPr>
              <w:snapToGrid w:val="0"/>
              <w:spacing w:line="280" w:lineRule="exact"/>
              <w:rPr>
                <w:bCs/>
                <w:color w:val="auto"/>
                <w:sz w:val="18"/>
                <w:szCs w:val="18"/>
                <w:highlight w:val="none"/>
              </w:rPr>
            </w:pPr>
            <w:r>
              <w:rPr>
                <w:rFonts w:hint="eastAsia"/>
                <w:bCs/>
                <w:color w:val="auto"/>
                <w:sz w:val="18"/>
                <w:szCs w:val="18"/>
                <w:highlight w:val="none"/>
              </w:rPr>
              <w:t>9.（代码+.市场字母标识）</w:t>
            </w:r>
          </w:p>
          <w:p w14:paraId="53C18C06">
            <w:pPr>
              <w:pStyle w:val="9"/>
              <w:spacing w:after="0" w:line="280" w:lineRule="exact"/>
              <w:rPr>
                <w:bCs/>
                <w:color w:val="auto"/>
                <w:sz w:val="18"/>
                <w:szCs w:val="18"/>
                <w:highlight w:val="none"/>
              </w:rPr>
            </w:pPr>
            <w:r>
              <w:rPr>
                <w:rFonts w:hint="eastAsia"/>
                <w:bCs/>
                <w:color w:val="auto"/>
                <w:sz w:val="18"/>
                <w:szCs w:val="18"/>
                <w:highlight w:val="none"/>
              </w:rPr>
              <w:t>上市时间（QB15_2）□□□□年</w:t>
            </w:r>
          </w:p>
          <w:p w14:paraId="2F0C511D">
            <w:pPr>
              <w:pStyle w:val="9"/>
              <w:spacing w:after="0" w:line="280" w:lineRule="exact"/>
              <w:rPr>
                <w:rFonts w:ascii="Times New Roman" w:hAnsi="Times New Roman"/>
                <w:bCs/>
                <w:color w:val="auto"/>
                <w:highlight w:val="none"/>
              </w:rPr>
            </w:pPr>
            <w:r>
              <w:rPr>
                <w:rFonts w:hint="eastAsia"/>
                <w:bCs/>
                <w:color w:val="auto"/>
                <w:sz w:val="18"/>
                <w:szCs w:val="18"/>
                <w:highlight w:val="none"/>
              </w:rPr>
              <w:t>年末市值（QB15_5）千元</w:t>
            </w:r>
          </w:p>
        </w:tc>
      </w:tr>
      <w:tr w14:paraId="0345C88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26" w:hRule="atLeast"/>
          <w:jc w:val="center"/>
        </w:trPr>
        <w:tc>
          <w:tcPr>
            <w:tcW w:w="881" w:type="dxa"/>
            <w:tcBorders>
              <w:top w:val="single" w:color="auto" w:sz="4" w:space="0"/>
              <w:left w:val="nil"/>
              <w:bottom w:val="single" w:color="auto" w:sz="2" w:space="0"/>
              <w:right w:val="single" w:color="auto" w:sz="2" w:space="0"/>
            </w:tcBorders>
            <w:noWrap w:val="0"/>
            <w:vAlign w:val="center"/>
          </w:tcPr>
          <w:p w14:paraId="58207610">
            <w:pPr>
              <w:snapToGrid w:val="0"/>
              <w:spacing w:line="280" w:lineRule="exact"/>
              <w:jc w:val="center"/>
              <w:rPr>
                <w:rFonts w:hint="eastAsia"/>
                <w:bCs/>
                <w:color w:val="auto"/>
                <w:sz w:val="18"/>
                <w:szCs w:val="18"/>
                <w:highlight w:val="none"/>
              </w:rPr>
            </w:pPr>
            <w:r>
              <w:rPr>
                <w:bCs/>
                <w:color w:val="auto"/>
                <w:sz w:val="18"/>
                <w:szCs w:val="18"/>
                <w:highlight w:val="none"/>
              </w:rPr>
              <w:t>QB16</w:t>
            </w:r>
          </w:p>
        </w:tc>
        <w:tc>
          <w:tcPr>
            <w:tcW w:w="8974" w:type="dxa"/>
            <w:tcBorders>
              <w:top w:val="single" w:color="auto" w:sz="4" w:space="0"/>
              <w:left w:val="single" w:color="auto" w:sz="2" w:space="0"/>
              <w:bottom w:val="single" w:color="auto" w:sz="2" w:space="0"/>
              <w:right w:val="nil"/>
            </w:tcBorders>
            <w:noWrap w:val="0"/>
            <w:vAlign w:val="center"/>
          </w:tcPr>
          <w:p w14:paraId="2205BDA9">
            <w:pPr>
              <w:snapToGrid w:val="0"/>
              <w:spacing w:line="280" w:lineRule="exact"/>
              <w:rPr>
                <w:rFonts w:hint="eastAsia"/>
                <w:bCs/>
                <w:color w:val="auto"/>
                <w:sz w:val="18"/>
                <w:szCs w:val="18"/>
                <w:highlight w:val="none"/>
              </w:rPr>
            </w:pPr>
            <w:r>
              <w:rPr>
                <w:rFonts w:hint="eastAsia"/>
                <w:bCs/>
                <w:color w:val="auto"/>
                <w:sz w:val="18"/>
                <w:szCs w:val="18"/>
                <w:highlight w:val="none"/>
              </w:rPr>
              <w:t>企业所属技术领域□□□按照企业主营产品进行填报，只限一项</w:t>
            </w:r>
          </w:p>
        </w:tc>
      </w:tr>
      <w:tr w14:paraId="06EF13B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26" w:hRule="atLeast"/>
          <w:jc w:val="center"/>
        </w:trPr>
        <w:tc>
          <w:tcPr>
            <w:tcW w:w="881" w:type="dxa"/>
            <w:tcBorders>
              <w:top w:val="single" w:color="auto" w:sz="2" w:space="0"/>
              <w:left w:val="nil"/>
              <w:bottom w:val="single" w:color="auto" w:sz="8" w:space="0"/>
              <w:right w:val="single" w:color="auto" w:sz="2" w:space="0"/>
            </w:tcBorders>
            <w:noWrap w:val="0"/>
            <w:vAlign w:val="center"/>
          </w:tcPr>
          <w:p w14:paraId="36D65822">
            <w:pPr>
              <w:snapToGrid w:val="0"/>
              <w:spacing w:line="280" w:lineRule="exact"/>
              <w:jc w:val="center"/>
              <w:rPr>
                <w:rFonts w:hint="eastAsia"/>
                <w:bCs/>
                <w:color w:val="auto"/>
                <w:sz w:val="18"/>
                <w:szCs w:val="18"/>
                <w:highlight w:val="none"/>
              </w:rPr>
            </w:pPr>
            <w:r>
              <w:rPr>
                <w:bCs/>
                <w:color w:val="auto"/>
                <w:sz w:val="18"/>
                <w:szCs w:val="18"/>
                <w:highlight w:val="none"/>
              </w:rPr>
              <w:t>QB16_1</w:t>
            </w:r>
          </w:p>
        </w:tc>
        <w:tc>
          <w:tcPr>
            <w:tcW w:w="8974" w:type="dxa"/>
            <w:tcBorders>
              <w:top w:val="single" w:color="auto" w:sz="2" w:space="0"/>
              <w:left w:val="single" w:color="auto" w:sz="2" w:space="0"/>
              <w:bottom w:val="single" w:color="auto" w:sz="8" w:space="0"/>
              <w:right w:val="nil"/>
            </w:tcBorders>
            <w:noWrap w:val="0"/>
            <w:vAlign w:val="center"/>
          </w:tcPr>
          <w:p w14:paraId="2B4CDBAC">
            <w:pPr>
              <w:snapToGrid w:val="0"/>
              <w:spacing w:line="280" w:lineRule="exact"/>
              <w:rPr>
                <w:rFonts w:hint="eastAsia"/>
                <w:bCs/>
                <w:color w:val="auto"/>
                <w:sz w:val="18"/>
                <w:szCs w:val="18"/>
                <w:highlight w:val="none"/>
              </w:rPr>
            </w:pPr>
            <w:r>
              <w:rPr>
                <w:rFonts w:hint="eastAsia"/>
                <w:bCs/>
                <w:color w:val="auto"/>
                <w:sz w:val="18"/>
                <w:szCs w:val="18"/>
                <w:highlight w:val="none"/>
              </w:rPr>
              <w:t>企业核心技术所属《国家重点支持的高新技术领域》□□□□□□</w:t>
            </w:r>
          </w:p>
        </w:tc>
      </w:tr>
    </w:tbl>
    <w:p w14:paraId="72BD6457">
      <w:pPr>
        <w:snapToGrid w:val="0"/>
        <w:spacing w:line="280" w:lineRule="exact"/>
        <w:rPr>
          <w:rFonts w:hint="eastAsia" w:ascii="Times New Roman" w:hAnsi="Times New Roman" w:eastAsia="宋体" w:cs="Times New Roman"/>
          <w:bCs/>
          <w:color w:val="auto"/>
          <w:sz w:val="18"/>
          <w:szCs w:val="18"/>
          <w:highlight w:val="none"/>
          <w:lang w:eastAsia="zh-CN"/>
        </w:rPr>
      </w:pPr>
    </w:p>
    <w:p w14:paraId="517B2E92">
      <w:pPr>
        <w:snapToGrid w:val="0"/>
        <w:spacing w:line="280" w:lineRule="exact"/>
        <w:rPr>
          <w:rFonts w:hint="eastAsia" w:ascii="Times New Roman" w:hAnsi="Times New Roman" w:eastAsia="宋体" w:cs="Times New Roman"/>
          <w:bCs/>
          <w:color w:val="auto"/>
          <w:sz w:val="18"/>
          <w:szCs w:val="18"/>
          <w:highlight w:val="none"/>
          <w:lang w:eastAsia="zh-CN"/>
        </w:rPr>
      </w:pPr>
      <w:r>
        <w:rPr>
          <w:rFonts w:hint="eastAsia" w:ascii="Times New Roman" w:hAnsi="Times New Roman" w:eastAsia="宋体" w:cs="Times New Roman"/>
          <w:bCs/>
          <w:color w:val="auto"/>
          <w:sz w:val="18"/>
          <w:szCs w:val="18"/>
          <w:highlight w:val="none"/>
          <w:lang w:eastAsia="zh-CN"/>
        </w:rPr>
        <w:t>续表二：</w:t>
      </w:r>
    </w:p>
    <w:tbl>
      <w:tblPr>
        <w:tblStyle w:val="34"/>
        <w:tblW w:w="9855"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881"/>
        <w:gridCol w:w="8974"/>
      </w:tblGrid>
      <w:tr w14:paraId="14C2710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8" w:space="0"/>
              <w:left w:val="nil"/>
              <w:bottom w:val="single" w:color="auto" w:sz="4" w:space="0"/>
              <w:right w:val="single" w:color="auto" w:sz="2" w:space="0"/>
            </w:tcBorders>
            <w:noWrap w:val="0"/>
            <w:vAlign w:val="center"/>
          </w:tcPr>
          <w:p w14:paraId="34446C7C">
            <w:pPr>
              <w:snapToGrid w:val="0"/>
              <w:spacing w:line="280" w:lineRule="exact"/>
              <w:jc w:val="center"/>
              <w:rPr>
                <w:rFonts w:hint="eastAsia"/>
                <w:bCs/>
                <w:color w:val="auto"/>
                <w:kern w:val="2"/>
                <w:sz w:val="18"/>
                <w:szCs w:val="18"/>
                <w:highlight w:val="none"/>
                <w:lang w:val="en-US" w:eastAsia="zh-CN" w:bidi="ar-SA"/>
              </w:rPr>
            </w:pPr>
            <w:r>
              <w:rPr>
                <w:bCs/>
                <w:color w:val="auto"/>
                <w:sz w:val="18"/>
                <w:szCs w:val="18"/>
                <w:highlight w:val="none"/>
              </w:rPr>
              <w:t>QB16_</w:t>
            </w:r>
            <w:r>
              <w:rPr>
                <w:rFonts w:hint="eastAsia"/>
                <w:bCs/>
                <w:color w:val="auto"/>
                <w:sz w:val="18"/>
                <w:szCs w:val="18"/>
                <w:highlight w:val="none"/>
              </w:rPr>
              <w:t>2</w:t>
            </w:r>
          </w:p>
        </w:tc>
        <w:tc>
          <w:tcPr>
            <w:tcW w:w="8974" w:type="dxa"/>
            <w:tcBorders>
              <w:top w:val="single" w:color="auto" w:sz="8" w:space="0"/>
              <w:left w:val="single" w:color="auto" w:sz="2" w:space="0"/>
              <w:bottom w:val="single" w:color="auto" w:sz="4" w:space="0"/>
              <w:right w:val="nil"/>
            </w:tcBorders>
            <w:noWrap w:val="0"/>
            <w:vAlign w:val="center"/>
          </w:tcPr>
          <w:p w14:paraId="4C158C1D">
            <w:pPr>
              <w:snapToGrid w:val="0"/>
              <w:spacing w:line="280" w:lineRule="exact"/>
              <w:rPr>
                <w:rFonts w:hint="eastAsia"/>
                <w:bCs/>
                <w:color w:val="auto"/>
                <w:kern w:val="2"/>
                <w:sz w:val="18"/>
                <w:szCs w:val="18"/>
                <w:highlight w:val="none"/>
                <w:lang w:val="en-US" w:eastAsia="zh-CN" w:bidi="ar-SA"/>
              </w:rPr>
            </w:pPr>
            <w:r>
              <w:rPr>
                <w:rFonts w:hint="eastAsia"/>
                <w:bCs/>
                <w:color w:val="auto"/>
                <w:sz w:val="18"/>
                <w:szCs w:val="18"/>
                <w:highlight w:val="none"/>
              </w:rPr>
              <w:t>企业所属战略性新兴产业领域□□□□□□</w:t>
            </w:r>
          </w:p>
        </w:tc>
      </w:tr>
      <w:tr w14:paraId="431B6FC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72179A9F">
            <w:pPr>
              <w:snapToGrid w:val="0"/>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QB</w:t>
            </w:r>
            <w:r>
              <w:rPr>
                <w:bCs/>
                <w:color w:val="auto"/>
                <w:sz w:val="18"/>
                <w:szCs w:val="18"/>
                <w:highlight w:val="none"/>
              </w:rPr>
              <w:t>32</w:t>
            </w:r>
          </w:p>
        </w:tc>
        <w:tc>
          <w:tcPr>
            <w:tcW w:w="8974" w:type="dxa"/>
            <w:tcBorders>
              <w:top w:val="single" w:color="auto" w:sz="4" w:space="0"/>
              <w:left w:val="single" w:color="auto" w:sz="2" w:space="0"/>
              <w:bottom w:val="single" w:color="auto" w:sz="4" w:space="0"/>
              <w:right w:val="nil"/>
            </w:tcBorders>
            <w:noWrap w:val="0"/>
            <w:vAlign w:val="center"/>
          </w:tcPr>
          <w:p w14:paraId="518249F9">
            <w:pPr>
              <w:snapToGrid w:val="0"/>
              <w:spacing w:line="280" w:lineRule="exact"/>
              <w:rPr>
                <w:rFonts w:hint="eastAsia"/>
                <w:bCs/>
                <w:color w:val="auto"/>
                <w:kern w:val="2"/>
                <w:sz w:val="18"/>
                <w:szCs w:val="18"/>
                <w:highlight w:val="none"/>
                <w:lang w:val="en-US" w:eastAsia="zh-CN" w:bidi="ar-SA"/>
              </w:rPr>
            </w:pPr>
            <w:r>
              <w:rPr>
                <w:rFonts w:hint="eastAsia"/>
                <w:bCs/>
                <w:color w:val="auto"/>
                <w:sz w:val="18"/>
                <w:szCs w:val="18"/>
                <w:highlight w:val="none"/>
              </w:rPr>
              <w:t>业务</w:t>
            </w:r>
            <w:r>
              <w:rPr>
                <w:bCs/>
                <w:color w:val="auto"/>
                <w:sz w:val="18"/>
                <w:szCs w:val="18"/>
                <w:highlight w:val="none"/>
              </w:rPr>
              <w:t>系统是否向云端迁移</w:t>
            </w:r>
            <w:r>
              <w:rPr>
                <w:rFonts w:hint="eastAsia"/>
                <w:bCs/>
                <w:color w:val="auto"/>
                <w:sz w:val="18"/>
                <w:szCs w:val="18"/>
                <w:highlight w:val="none"/>
              </w:rPr>
              <w:t xml:space="preserve">  □是     □否</w:t>
            </w:r>
          </w:p>
        </w:tc>
      </w:tr>
      <w:tr w14:paraId="05D17A4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1E35883A">
            <w:pPr>
              <w:snapToGrid w:val="0"/>
              <w:spacing w:line="280" w:lineRule="exact"/>
              <w:jc w:val="center"/>
              <w:rPr>
                <w:rFonts w:hint="eastAsia"/>
                <w:bCs/>
                <w:color w:val="auto"/>
                <w:kern w:val="2"/>
                <w:sz w:val="18"/>
                <w:szCs w:val="18"/>
                <w:highlight w:val="none"/>
                <w:lang w:val="en-US" w:eastAsia="zh-CN" w:bidi="ar-SA"/>
              </w:rPr>
            </w:pPr>
            <w:r>
              <w:rPr>
                <w:rFonts w:hint="eastAsia"/>
                <w:bCs/>
                <w:color w:val="auto"/>
                <w:sz w:val="18"/>
                <w:szCs w:val="18"/>
                <w:highlight w:val="none"/>
              </w:rPr>
              <w:t>QB</w:t>
            </w:r>
            <w:r>
              <w:rPr>
                <w:bCs/>
                <w:color w:val="auto"/>
                <w:sz w:val="18"/>
                <w:szCs w:val="18"/>
                <w:highlight w:val="none"/>
              </w:rPr>
              <w:t>3</w:t>
            </w:r>
            <w:r>
              <w:rPr>
                <w:rFonts w:hint="eastAsia"/>
                <w:bCs/>
                <w:color w:val="auto"/>
                <w:sz w:val="18"/>
                <w:szCs w:val="18"/>
                <w:highlight w:val="none"/>
                <w:lang w:eastAsia="zh-CN"/>
              </w:rPr>
              <w:t>8</w:t>
            </w:r>
          </w:p>
        </w:tc>
        <w:tc>
          <w:tcPr>
            <w:tcW w:w="8974" w:type="dxa"/>
            <w:tcBorders>
              <w:top w:val="single" w:color="auto" w:sz="4" w:space="0"/>
              <w:left w:val="single" w:color="auto" w:sz="2" w:space="0"/>
              <w:bottom w:val="single" w:color="auto" w:sz="4" w:space="0"/>
              <w:right w:val="nil"/>
            </w:tcBorders>
            <w:noWrap w:val="0"/>
            <w:vAlign w:val="center"/>
          </w:tcPr>
          <w:p w14:paraId="237D2609">
            <w:pPr>
              <w:snapToGrid w:val="0"/>
              <w:spacing w:line="280" w:lineRule="exact"/>
              <w:rPr>
                <w:rFonts w:hint="eastAsia"/>
                <w:bCs/>
                <w:color w:val="auto"/>
                <w:kern w:val="2"/>
                <w:sz w:val="18"/>
                <w:szCs w:val="18"/>
                <w:highlight w:val="none"/>
                <w:lang w:val="en-US" w:eastAsia="zh-CN" w:bidi="ar-SA"/>
              </w:rPr>
            </w:pPr>
            <w:r>
              <w:rPr>
                <w:rFonts w:hint="eastAsia"/>
                <w:bCs/>
                <w:color w:val="auto"/>
                <w:sz w:val="18"/>
                <w:szCs w:val="18"/>
                <w:highlight w:val="none"/>
              </w:rPr>
              <w:t xml:space="preserve">是否拥有实体经济和数字经济融合相关试点、典型案例 </w:t>
            </w:r>
            <w:r>
              <w:rPr>
                <w:rFonts w:hint="eastAsia"/>
                <w:bCs/>
                <w:color w:val="auto"/>
                <w:sz w:val="18"/>
                <w:szCs w:val="18"/>
                <w:highlight w:val="none"/>
              </w:rPr>
              <w:tab/>
            </w:r>
            <w:r>
              <w:rPr>
                <w:rFonts w:hint="eastAsia"/>
                <w:bCs/>
                <w:color w:val="auto"/>
                <w:sz w:val="18"/>
                <w:szCs w:val="18"/>
                <w:highlight w:val="none"/>
              </w:rPr>
              <w:t>□是     □否</w:t>
            </w:r>
          </w:p>
        </w:tc>
      </w:tr>
      <w:tr w14:paraId="0590D67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4" w:space="0"/>
              <w:right w:val="single" w:color="auto" w:sz="2" w:space="0"/>
            </w:tcBorders>
            <w:noWrap w:val="0"/>
            <w:vAlign w:val="center"/>
          </w:tcPr>
          <w:p w14:paraId="1EC480EF">
            <w:pPr>
              <w:snapToGrid w:val="0"/>
              <w:spacing w:line="280" w:lineRule="exact"/>
              <w:jc w:val="center"/>
              <w:rPr>
                <w:rFonts w:hint="default"/>
                <w:bCs/>
                <w:color w:val="auto"/>
                <w:sz w:val="18"/>
                <w:szCs w:val="18"/>
                <w:highlight w:val="none"/>
                <w:lang w:val="en-US" w:eastAsia="zh-CN"/>
              </w:rPr>
            </w:pPr>
            <w:r>
              <w:rPr>
                <w:rFonts w:hint="eastAsia"/>
                <w:bCs/>
                <w:color w:val="auto"/>
                <w:sz w:val="18"/>
                <w:szCs w:val="18"/>
                <w:highlight w:val="none"/>
              </w:rPr>
              <w:t>QB</w:t>
            </w:r>
            <w:r>
              <w:rPr>
                <w:rFonts w:hint="eastAsia"/>
                <w:bCs/>
                <w:color w:val="auto"/>
                <w:sz w:val="18"/>
                <w:szCs w:val="18"/>
                <w:highlight w:val="none"/>
                <w:lang w:val="en-US" w:eastAsia="zh-CN"/>
              </w:rPr>
              <w:t>34</w:t>
            </w:r>
          </w:p>
        </w:tc>
        <w:tc>
          <w:tcPr>
            <w:tcW w:w="8974" w:type="dxa"/>
            <w:tcBorders>
              <w:top w:val="single" w:color="auto" w:sz="4" w:space="0"/>
              <w:left w:val="single" w:color="auto" w:sz="2" w:space="0"/>
              <w:bottom w:val="single" w:color="auto" w:sz="4" w:space="0"/>
              <w:right w:val="nil"/>
            </w:tcBorders>
            <w:noWrap w:val="0"/>
            <w:vAlign w:val="center"/>
          </w:tcPr>
          <w:p w14:paraId="4A30E746">
            <w:pPr>
              <w:snapToGrid w:val="0"/>
              <w:spacing w:line="280" w:lineRule="exact"/>
              <w:rPr>
                <w:rFonts w:hint="eastAsia"/>
                <w:bCs/>
                <w:color w:val="auto"/>
                <w:sz w:val="18"/>
                <w:szCs w:val="18"/>
                <w:highlight w:val="none"/>
              </w:rPr>
            </w:pPr>
            <w:r>
              <w:rPr>
                <w:rFonts w:hint="eastAsia"/>
                <w:bCs/>
                <w:color w:val="auto"/>
                <w:sz w:val="18"/>
                <w:szCs w:val="18"/>
                <w:highlight w:val="none"/>
              </w:rPr>
              <w:t>企业</w:t>
            </w:r>
            <w:r>
              <w:rPr>
                <w:bCs/>
                <w:color w:val="auto"/>
                <w:sz w:val="18"/>
                <w:szCs w:val="18"/>
                <w:highlight w:val="none"/>
              </w:rPr>
              <w:t>是否</w:t>
            </w:r>
            <w:r>
              <w:rPr>
                <w:rFonts w:hint="eastAsia"/>
                <w:bCs/>
                <w:color w:val="auto"/>
                <w:sz w:val="18"/>
                <w:szCs w:val="18"/>
                <w:highlight w:val="none"/>
              </w:rPr>
              <w:t xml:space="preserve">进行数字化转型 </w:t>
            </w:r>
            <w:r>
              <w:rPr>
                <w:bCs/>
                <w:color w:val="auto"/>
                <w:sz w:val="18"/>
                <w:szCs w:val="18"/>
                <w:highlight w:val="none"/>
              </w:rPr>
              <w:t xml:space="preserve"> </w:t>
            </w:r>
            <w:r>
              <w:rPr>
                <w:rFonts w:hint="eastAsia"/>
                <w:bCs/>
                <w:color w:val="auto"/>
                <w:sz w:val="18"/>
                <w:szCs w:val="18"/>
                <w:highlight w:val="none"/>
              </w:rPr>
              <w:t>□是     □否</w:t>
            </w:r>
          </w:p>
        </w:tc>
      </w:tr>
      <w:tr w14:paraId="34753BA6">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4" w:space="0"/>
              <w:left w:val="nil"/>
              <w:bottom w:val="single" w:color="auto" w:sz="2" w:space="0"/>
              <w:right w:val="single" w:color="auto" w:sz="2" w:space="0"/>
            </w:tcBorders>
            <w:noWrap w:val="0"/>
            <w:vAlign w:val="center"/>
          </w:tcPr>
          <w:p w14:paraId="399F2A2C">
            <w:pPr>
              <w:snapToGrid w:val="0"/>
              <w:spacing w:line="280" w:lineRule="exact"/>
              <w:jc w:val="center"/>
              <w:rPr>
                <w:rFonts w:hint="default"/>
                <w:bCs/>
                <w:color w:val="auto"/>
                <w:sz w:val="18"/>
                <w:szCs w:val="18"/>
                <w:highlight w:val="none"/>
                <w:lang w:val="en-US" w:eastAsia="zh-CN"/>
              </w:rPr>
            </w:pPr>
            <w:r>
              <w:rPr>
                <w:rFonts w:hint="eastAsia"/>
                <w:bCs/>
                <w:color w:val="auto"/>
                <w:sz w:val="18"/>
                <w:szCs w:val="18"/>
                <w:highlight w:val="none"/>
              </w:rPr>
              <w:t>QB</w:t>
            </w:r>
            <w:r>
              <w:rPr>
                <w:rFonts w:hint="eastAsia"/>
                <w:bCs/>
                <w:color w:val="auto"/>
                <w:sz w:val="18"/>
                <w:szCs w:val="18"/>
                <w:highlight w:val="none"/>
                <w:lang w:val="en-US" w:eastAsia="zh-CN"/>
              </w:rPr>
              <w:t>34_1</w:t>
            </w:r>
          </w:p>
        </w:tc>
        <w:tc>
          <w:tcPr>
            <w:tcW w:w="8974" w:type="dxa"/>
            <w:tcBorders>
              <w:top w:val="single" w:color="auto" w:sz="4" w:space="0"/>
              <w:left w:val="single" w:color="auto" w:sz="2" w:space="0"/>
              <w:bottom w:val="single" w:color="auto" w:sz="2" w:space="0"/>
              <w:right w:val="nil"/>
            </w:tcBorders>
            <w:noWrap w:val="0"/>
            <w:vAlign w:val="center"/>
          </w:tcPr>
          <w:p w14:paraId="24685405">
            <w:pPr>
              <w:snapToGrid w:val="0"/>
              <w:spacing w:line="280" w:lineRule="exact"/>
              <w:rPr>
                <w:rFonts w:hint="eastAsia"/>
                <w:bCs/>
                <w:color w:val="auto"/>
                <w:sz w:val="18"/>
                <w:szCs w:val="18"/>
                <w:highlight w:val="none"/>
              </w:rPr>
            </w:pPr>
            <w:r>
              <w:rPr>
                <w:rFonts w:hint="eastAsia"/>
                <w:bCs/>
                <w:color w:val="auto"/>
                <w:sz w:val="18"/>
                <w:szCs w:val="18"/>
                <w:highlight w:val="none"/>
              </w:rPr>
              <w:t>如</w:t>
            </w:r>
            <w:r>
              <w:rPr>
                <w:bCs/>
                <w:color w:val="auto"/>
                <w:sz w:val="18"/>
                <w:szCs w:val="18"/>
                <w:highlight w:val="none"/>
              </w:rPr>
              <w:t>是，请明确</w:t>
            </w:r>
            <w:r>
              <w:rPr>
                <w:rFonts w:hint="eastAsia"/>
                <w:bCs/>
                <w:color w:val="auto"/>
                <w:sz w:val="18"/>
                <w:szCs w:val="18"/>
                <w:highlight w:val="none"/>
              </w:rPr>
              <w:t>本年用于</w:t>
            </w:r>
            <w:r>
              <w:rPr>
                <w:bCs/>
                <w:color w:val="auto"/>
                <w:sz w:val="18"/>
                <w:szCs w:val="18"/>
                <w:highlight w:val="none"/>
              </w:rPr>
              <w:t>数字化转型的</w:t>
            </w:r>
            <w:r>
              <w:rPr>
                <w:rFonts w:hint="eastAsia"/>
                <w:bCs/>
                <w:color w:val="auto"/>
                <w:sz w:val="18"/>
                <w:szCs w:val="18"/>
                <w:highlight w:val="none"/>
              </w:rPr>
              <w:t>经费投入__________千元</w:t>
            </w:r>
          </w:p>
        </w:tc>
      </w:tr>
      <w:tr w14:paraId="0AFBD16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2" w:space="0"/>
              <w:left w:val="nil"/>
              <w:bottom w:val="single" w:color="auto" w:sz="2" w:space="0"/>
              <w:right w:val="single" w:color="auto" w:sz="2" w:space="0"/>
            </w:tcBorders>
            <w:noWrap w:val="0"/>
            <w:vAlign w:val="center"/>
          </w:tcPr>
          <w:p w14:paraId="46DD7A59">
            <w:pPr>
              <w:snapToGrid w:val="0"/>
              <w:spacing w:line="280" w:lineRule="exact"/>
              <w:jc w:val="center"/>
              <w:rPr>
                <w:rFonts w:hint="eastAsia"/>
                <w:bCs/>
                <w:color w:val="auto"/>
                <w:sz w:val="18"/>
                <w:szCs w:val="18"/>
                <w:highlight w:val="none"/>
                <w:lang w:val="en-US" w:eastAsia="zh-CN"/>
              </w:rPr>
            </w:pPr>
            <w:r>
              <w:rPr>
                <w:rFonts w:hint="eastAsia"/>
                <w:bCs/>
                <w:color w:val="auto"/>
                <w:sz w:val="18"/>
                <w:szCs w:val="18"/>
                <w:highlight w:val="none"/>
              </w:rPr>
              <w:t>QB</w:t>
            </w:r>
            <w:r>
              <w:rPr>
                <w:rFonts w:hint="eastAsia"/>
                <w:bCs/>
                <w:color w:val="auto"/>
                <w:sz w:val="18"/>
                <w:szCs w:val="18"/>
                <w:highlight w:val="none"/>
                <w:lang w:val="en-US" w:eastAsia="zh-CN"/>
              </w:rPr>
              <w:t>35</w:t>
            </w:r>
          </w:p>
        </w:tc>
        <w:tc>
          <w:tcPr>
            <w:tcW w:w="8974" w:type="dxa"/>
            <w:tcBorders>
              <w:top w:val="single" w:color="auto" w:sz="2" w:space="0"/>
              <w:left w:val="single" w:color="auto" w:sz="2" w:space="0"/>
              <w:bottom w:val="single" w:color="auto" w:sz="2" w:space="0"/>
              <w:right w:val="nil"/>
            </w:tcBorders>
            <w:noWrap w:val="0"/>
            <w:vAlign w:val="center"/>
          </w:tcPr>
          <w:p w14:paraId="583776A1">
            <w:pPr>
              <w:snapToGrid w:val="0"/>
              <w:spacing w:line="280" w:lineRule="exact"/>
              <w:rPr>
                <w:rFonts w:hint="eastAsia"/>
                <w:bCs/>
                <w:color w:val="auto"/>
                <w:sz w:val="18"/>
                <w:szCs w:val="18"/>
                <w:highlight w:val="none"/>
              </w:rPr>
            </w:pPr>
            <w:r>
              <w:rPr>
                <w:rFonts w:hint="eastAsia"/>
                <w:bCs/>
                <w:color w:val="auto"/>
                <w:sz w:val="18"/>
                <w:szCs w:val="18"/>
                <w:highlight w:val="none"/>
              </w:rPr>
              <w:t>企业</w:t>
            </w:r>
            <w:r>
              <w:rPr>
                <w:bCs/>
                <w:color w:val="auto"/>
                <w:sz w:val="18"/>
                <w:szCs w:val="18"/>
                <w:highlight w:val="none"/>
              </w:rPr>
              <w:t>拥有工业机器人数量</w:t>
            </w:r>
            <w:r>
              <w:rPr>
                <w:rFonts w:hint="eastAsia"/>
                <w:bCs/>
                <w:color w:val="auto"/>
                <w:sz w:val="18"/>
                <w:szCs w:val="18"/>
                <w:highlight w:val="none"/>
              </w:rPr>
              <w:t>_______个</w:t>
            </w:r>
            <w:r>
              <w:rPr>
                <w:bCs/>
                <w:color w:val="auto"/>
                <w:sz w:val="18"/>
                <w:szCs w:val="18"/>
                <w:highlight w:val="none"/>
              </w:rPr>
              <w:t>（</w:t>
            </w:r>
            <w:r>
              <w:rPr>
                <w:rFonts w:hint="eastAsia"/>
                <w:bCs/>
                <w:color w:val="auto"/>
                <w:sz w:val="18"/>
                <w:szCs w:val="18"/>
                <w:highlight w:val="none"/>
              </w:rPr>
              <w:t>仅</w:t>
            </w:r>
            <w:r>
              <w:rPr>
                <w:bCs/>
                <w:color w:val="auto"/>
                <w:sz w:val="18"/>
                <w:szCs w:val="18"/>
                <w:highlight w:val="none"/>
              </w:rPr>
              <w:t>工业企业填报）</w:t>
            </w:r>
          </w:p>
        </w:tc>
      </w:tr>
      <w:tr w14:paraId="3D2410C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2" w:space="0"/>
              <w:left w:val="nil"/>
              <w:bottom w:val="single" w:color="auto" w:sz="2" w:space="0"/>
              <w:right w:val="single" w:color="auto" w:sz="2" w:space="0"/>
            </w:tcBorders>
            <w:noWrap w:val="0"/>
            <w:vAlign w:val="center"/>
          </w:tcPr>
          <w:p w14:paraId="28EC2F1A">
            <w:pPr>
              <w:snapToGrid w:val="0"/>
              <w:spacing w:line="280" w:lineRule="exact"/>
              <w:jc w:val="center"/>
              <w:rPr>
                <w:rFonts w:hint="eastAsia"/>
                <w:bCs/>
                <w:color w:val="auto"/>
                <w:sz w:val="18"/>
                <w:szCs w:val="18"/>
                <w:highlight w:val="none"/>
              </w:rPr>
            </w:pPr>
            <w:r>
              <w:rPr>
                <w:rFonts w:hint="eastAsia"/>
                <w:bCs/>
                <w:color w:val="auto"/>
                <w:sz w:val="18"/>
                <w:szCs w:val="18"/>
                <w:highlight w:val="none"/>
              </w:rPr>
              <w:t>QB</w:t>
            </w:r>
            <w:r>
              <w:rPr>
                <w:rFonts w:hint="eastAsia"/>
                <w:bCs/>
                <w:color w:val="auto"/>
                <w:sz w:val="18"/>
                <w:szCs w:val="18"/>
                <w:highlight w:val="none"/>
                <w:lang w:val="en-US" w:eastAsia="zh-CN"/>
              </w:rPr>
              <w:t>36</w:t>
            </w:r>
          </w:p>
        </w:tc>
        <w:tc>
          <w:tcPr>
            <w:tcW w:w="8974" w:type="dxa"/>
            <w:tcBorders>
              <w:top w:val="single" w:color="auto" w:sz="2" w:space="0"/>
              <w:left w:val="single" w:color="auto" w:sz="2" w:space="0"/>
              <w:bottom w:val="single" w:color="auto" w:sz="2" w:space="0"/>
              <w:right w:val="nil"/>
            </w:tcBorders>
            <w:noWrap w:val="0"/>
            <w:vAlign w:val="center"/>
          </w:tcPr>
          <w:p w14:paraId="62085BF9">
            <w:pPr>
              <w:snapToGrid w:val="0"/>
              <w:spacing w:line="280" w:lineRule="exact"/>
              <w:rPr>
                <w:rFonts w:hint="default" w:eastAsia="宋体"/>
                <w:bCs/>
                <w:color w:val="auto"/>
                <w:sz w:val="18"/>
                <w:szCs w:val="18"/>
                <w:highlight w:val="none"/>
                <w:lang w:val="en-US" w:eastAsia="zh-CN"/>
              </w:rPr>
            </w:pPr>
            <w:r>
              <w:rPr>
                <w:rFonts w:hint="eastAsia"/>
                <w:bCs/>
                <w:color w:val="auto"/>
                <w:sz w:val="18"/>
                <w:szCs w:val="18"/>
                <w:highlight w:val="none"/>
                <w:lang w:eastAsia="zh-CN"/>
              </w:rPr>
              <w:t>企业是否建立企业研发准备金</w:t>
            </w:r>
            <w:r>
              <w:rPr>
                <w:rFonts w:hint="eastAsia"/>
                <w:bCs/>
                <w:color w:val="auto"/>
                <w:sz w:val="18"/>
                <w:szCs w:val="18"/>
                <w:highlight w:val="none"/>
              </w:rPr>
              <w:t xml:space="preserve"> </w:t>
            </w:r>
            <w:r>
              <w:rPr>
                <w:bCs/>
                <w:color w:val="auto"/>
                <w:sz w:val="18"/>
                <w:szCs w:val="18"/>
                <w:highlight w:val="none"/>
              </w:rPr>
              <w:t xml:space="preserve"> </w:t>
            </w:r>
            <w:r>
              <w:rPr>
                <w:rFonts w:hint="eastAsia"/>
                <w:bCs/>
                <w:color w:val="auto"/>
                <w:sz w:val="18"/>
                <w:szCs w:val="18"/>
                <w:highlight w:val="none"/>
              </w:rPr>
              <w:t>□是     □否</w:t>
            </w:r>
          </w:p>
        </w:tc>
      </w:tr>
      <w:tr w14:paraId="57762C7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2" w:space="0"/>
              <w:left w:val="nil"/>
              <w:bottom w:val="single" w:color="auto" w:sz="2" w:space="0"/>
              <w:right w:val="single" w:color="auto" w:sz="2" w:space="0"/>
            </w:tcBorders>
            <w:noWrap w:val="0"/>
            <w:vAlign w:val="center"/>
          </w:tcPr>
          <w:p w14:paraId="17EDDDE3">
            <w:pPr>
              <w:snapToGrid w:val="0"/>
              <w:spacing w:line="280" w:lineRule="exact"/>
              <w:jc w:val="center"/>
              <w:rPr>
                <w:rFonts w:hint="eastAsia"/>
                <w:bCs/>
                <w:color w:val="auto"/>
                <w:sz w:val="18"/>
                <w:szCs w:val="18"/>
                <w:highlight w:val="none"/>
              </w:rPr>
            </w:pPr>
            <w:r>
              <w:rPr>
                <w:rFonts w:hint="eastAsia"/>
                <w:bCs/>
                <w:color w:val="auto"/>
                <w:sz w:val="18"/>
                <w:szCs w:val="18"/>
                <w:highlight w:val="none"/>
              </w:rPr>
              <w:t>QB</w:t>
            </w:r>
            <w:r>
              <w:rPr>
                <w:rFonts w:hint="eastAsia"/>
                <w:bCs/>
                <w:color w:val="auto"/>
                <w:sz w:val="18"/>
                <w:szCs w:val="18"/>
                <w:highlight w:val="none"/>
                <w:lang w:val="en-US" w:eastAsia="zh-CN"/>
              </w:rPr>
              <w:t>37</w:t>
            </w:r>
          </w:p>
        </w:tc>
        <w:tc>
          <w:tcPr>
            <w:tcW w:w="8974" w:type="dxa"/>
            <w:tcBorders>
              <w:top w:val="single" w:color="auto" w:sz="2" w:space="0"/>
              <w:left w:val="single" w:color="auto" w:sz="2" w:space="0"/>
              <w:bottom w:val="single" w:color="auto" w:sz="2" w:space="0"/>
              <w:right w:val="nil"/>
            </w:tcBorders>
            <w:noWrap w:val="0"/>
            <w:vAlign w:val="center"/>
          </w:tcPr>
          <w:p w14:paraId="1A1A5C05">
            <w:pPr>
              <w:snapToGrid w:val="0"/>
              <w:spacing w:line="280" w:lineRule="exact"/>
              <w:rPr>
                <w:rFonts w:hint="eastAsia" w:eastAsia="宋体"/>
                <w:bCs/>
                <w:color w:val="auto"/>
                <w:sz w:val="18"/>
                <w:szCs w:val="18"/>
                <w:highlight w:val="none"/>
                <w:lang w:eastAsia="zh-CN"/>
              </w:rPr>
            </w:pPr>
            <w:r>
              <w:rPr>
                <w:rFonts w:hint="eastAsia"/>
                <w:bCs/>
                <w:color w:val="auto"/>
                <w:sz w:val="18"/>
                <w:szCs w:val="18"/>
                <w:highlight w:val="none"/>
                <w:lang w:eastAsia="zh-CN"/>
              </w:rPr>
              <w:t>企业是否通过质量</w:t>
            </w:r>
            <w:r>
              <w:rPr>
                <w:rFonts w:hint="eastAsia"/>
                <w:bCs/>
                <w:color w:val="auto"/>
                <w:sz w:val="18"/>
                <w:szCs w:val="18"/>
                <w:highlight w:val="none"/>
                <w:lang w:val="en-US" w:eastAsia="zh-CN"/>
              </w:rPr>
              <w:t>管理</w:t>
            </w:r>
            <w:r>
              <w:rPr>
                <w:rFonts w:hint="eastAsia"/>
                <w:bCs/>
                <w:color w:val="auto"/>
                <w:sz w:val="18"/>
                <w:szCs w:val="18"/>
                <w:highlight w:val="none"/>
                <w:lang w:eastAsia="zh-CN"/>
              </w:rPr>
              <w:t>体系认证</w:t>
            </w:r>
            <w:r>
              <w:rPr>
                <w:rFonts w:hint="eastAsia"/>
                <w:bCs/>
                <w:color w:val="auto"/>
                <w:sz w:val="18"/>
                <w:szCs w:val="18"/>
                <w:highlight w:val="none"/>
              </w:rPr>
              <w:t xml:space="preserve"> </w:t>
            </w:r>
            <w:r>
              <w:rPr>
                <w:bCs/>
                <w:color w:val="auto"/>
                <w:sz w:val="18"/>
                <w:szCs w:val="18"/>
                <w:highlight w:val="none"/>
              </w:rPr>
              <w:t xml:space="preserve"> </w:t>
            </w:r>
            <w:r>
              <w:rPr>
                <w:rFonts w:hint="eastAsia"/>
                <w:bCs/>
                <w:color w:val="auto"/>
                <w:sz w:val="18"/>
                <w:szCs w:val="18"/>
                <w:highlight w:val="none"/>
              </w:rPr>
              <w:t>□是     □否</w:t>
            </w:r>
          </w:p>
        </w:tc>
      </w:tr>
      <w:tr w14:paraId="2B6B492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97" w:hRule="atLeast"/>
          <w:jc w:val="center"/>
        </w:trPr>
        <w:tc>
          <w:tcPr>
            <w:tcW w:w="881" w:type="dxa"/>
            <w:tcBorders>
              <w:top w:val="single" w:color="auto" w:sz="2" w:space="0"/>
              <w:left w:val="nil"/>
              <w:bottom w:val="single" w:color="auto" w:sz="8" w:space="0"/>
              <w:right w:val="single" w:color="auto" w:sz="2" w:space="0"/>
            </w:tcBorders>
            <w:noWrap w:val="0"/>
            <w:vAlign w:val="center"/>
          </w:tcPr>
          <w:p w14:paraId="605113C0">
            <w:pPr>
              <w:snapToGrid w:val="0"/>
              <w:spacing w:line="280" w:lineRule="exact"/>
              <w:jc w:val="center"/>
              <w:rPr>
                <w:rFonts w:hint="default"/>
                <w:bCs/>
                <w:color w:val="auto"/>
                <w:sz w:val="18"/>
                <w:szCs w:val="18"/>
                <w:highlight w:val="none"/>
                <w:lang w:val="en-US"/>
              </w:rPr>
            </w:pPr>
            <w:r>
              <w:rPr>
                <w:rFonts w:hint="eastAsia"/>
                <w:bCs/>
                <w:color w:val="auto"/>
                <w:sz w:val="18"/>
                <w:szCs w:val="18"/>
                <w:highlight w:val="none"/>
              </w:rPr>
              <w:t>QB</w:t>
            </w:r>
            <w:r>
              <w:rPr>
                <w:rFonts w:hint="eastAsia"/>
                <w:bCs/>
                <w:color w:val="auto"/>
                <w:sz w:val="18"/>
                <w:szCs w:val="18"/>
                <w:highlight w:val="none"/>
                <w:lang w:val="en-US" w:eastAsia="zh-CN"/>
              </w:rPr>
              <w:t>37_1</w:t>
            </w:r>
          </w:p>
        </w:tc>
        <w:tc>
          <w:tcPr>
            <w:tcW w:w="8974" w:type="dxa"/>
            <w:tcBorders>
              <w:top w:val="single" w:color="auto" w:sz="2" w:space="0"/>
              <w:left w:val="single" w:color="auto" w:sz="2" w:space="0"/>
              <w:bottom w:val="single" w:color="auto" w:sz="8" w:space="0"/>
              <w:right w:val="nil"/>
            </w:tcBorders>
            <w:noWrap w:val="0"/>
            <w:vAlign w:val="center"/>
          </w:tcPr>
          <w:p w14:paraId="017D90A3">
            <w:pPr>
              <w:snapToGrid w:val="0"/>
              <w:spacing w:line="280" w:lineRule="exact"/>
              <w:rPr>
                <w:rFonts w:hint="default"/>
                <w:bCs/>
                <w:color w:val="auto"/>
                <w:sz w:val="18"/>
                <w:szCs w:val="18"/>
                <w:highlight w:val="none"/>
                <w:lang w:val="en-US" w:eastAsia="zh-CN"/>
              </w:rPr>
            </w:pPr>
            <w:r>
              <w:rPr>
                <w:rFonts w:hint="eastAsia"/>
                <w:bCs/>
                <w:color w:val="auto"/>
                <w:sz w:val="18"/>
                <w:szCs w:val="18"/>
                <w:highlight w:val="none"/>
                <w:lang w:eastAsia="zh-CN"/>
              </w:rPr>
              <w:t>如通过质量管理体系认证，</w:t>
            </w:r>
            <w:r>
              <w:rPr>
                <w:rFonts w:hint="eastAsia"/>
                <w:bCs/>
                <w:color w:val="auto"/>
                <w:sz w:val="18"/>
                <w:szCs w:val="18"/>
                <w:highlight w:val="none"/>
                <w:lang w:val="en-US" w:eastAsia="zh-CN"/>
              </w:rPr>
              <w:t>适用标准为       ，证书编号为        。</w:t>
            </w:r>
          </w:p>
        </w:tc>
      </w:tr>
    </w:tbl>
    <w:p w14:paraId="257F8722">
      <w:pPr>
        <w:spacing w:line="400" w:lineRule="exact"/>
        <w:rPr>
          <w:rFonts w:ascii="Times New Roman" w:hAnsi="Times New Roman"/>
          <w:bCs/>
          <w:color w:val="auto"/>
          <w:sz w:val="18"/>
          <w:szCs w:val="24"/>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7FEBFC19">
      <w:pPr>
        <w:spacing w:line="360" w:lineRule="exact"/>
        <w:rPr>
          <w:rFonts w:ascii="Times New Roman" w:hAnsi="Times New Roman"/>
          <w:bCs/>
          <w:color w:val="auto"/>
          <w:highlight w:val="none"/>
        </w:rPr>
      </w:pPr>
    </w:p>
    <w:p w14:paraId="4C9D284D">
      <w:pPr>
        <w:widowControl/>
        <w:spacing w:line="360" w:lineRule="exact"/>
        <w:ind w:left="720" w:hanging="720" w:hangingChars="400"/>
        <w:jc w:val="left"/>
        <w:rPr>
          <w:rFonts w:ascii="Times New Roman" w:hAnsi="Times New Roman"/>
          <w:bCs/>
          <w:color w:val="auto"/>
          <w:sz w:val="18"/>
          <w:szCs w:val="18"/>
          <w:highlight w:val="none"/>
        </w:rPr>
      </w:pPr>
      <w:r>
        <w:rPr>
          <w:rFonts w:ascii="Times New Roman" w:hAnsi="Times New Roman"/>
          <w:bCs/>
          <w:color w:val="auto"/>
          <w:sz w:val="18"/>
          <w:szCs w:val="18"/>
          <w:highlight w:val="none"/>
        </w:rPr>
        <w:t>说明：</w:t>
      </w:r>
      <w:r>
        <w:rPr>
          <w:rFonts w:ascii="Times New Roman" w:hAnsi="Times New Roman"/>
          <w:bCs/>
          <w:color w:val="auto"/>
          <w:spacing w:val="-4"/>
          <w:sz w:val="18"/>
          <w:szCs w:val="18"/>
          <w:highlight w:val="none"/>
        </w:rPr>
        <w:t>此表中所有灰色底纹的指标均不需要企业填报，系统中这些指标为锁定状态，由系统通过其他途径获取。</w:t>
      </w:r>
    </w:p>
    <w:p w14:paraId="04FB7DC0">
      <w:pPr>
        <w:pStyle w:val="9"/>
        <w:rPr>
          <w:rFonts w:ascii="Times New Roman" w:hAnsi="Times New Roman"/>
          <w:bCs/>
          <w:color w:val="auto"/>
          <w:highlight w:val="none"/>
        </w:rPr>
      </w:pPr>
    </w:p>
    <w:p w14:paraId="721C6F64">
      <w:pPr>
        <w:tabs>
          <w:tab w:val="left" w:pos="753"/>
        </w:tabs>
        <w:spacing w:line="400" w:lineRule="exact"/>
        <w:jc w:val="center"/>
        <w:rPr>
          <w:rFonts w:ascii="Times New Roman" w:hAnsi="Times New Roman"/>
          <w:b/>
          <w:color w:val="auto"/>
          <w:sz w:val="32"/>
          <w:szCs w:val="32"/>
          <w:highlight w:val="none"/>
        </w:rPr>
      </w:pPr>
      <w:r>
        <w:rPr>
          <w:rFonts w:ascii="Times New Roman" w:hAnsi="Times New Roman"/>
          <w:color w:val="auto"/>
          <w:sz w:val="28"/>
          <w:szCs w:val="28"/>
          <w:highlight w:val="none"/>
        </w:rPr>
        <w:br w:type="page"/>
      </w:r>
      <w:r>
        <w:rPr>
          <w:rFonts w:hint="eastAsia" w:ascii="黑体" w:hAnsi="黑体" w:eastAsia="黑体" w:cs="黑体"/>
          <w:b w:val="0"/>
          <w:bCs/>
          <w:color w:val="auto"/>
          <w:kern w:val="0"/>
          <w:sz w:val="32"/>
          <w:szCs w:val="32"/>
          <w:highlight w:val="none"/>
        </w:rPr>
        <w:t>指标解释</w:t>
      </w:r>
    </w:p>
    <w:p w14:paraId="113981D0">
      <w:pPr>
        <w:pStyle w:val="9"/>
        <w:rPr>
          <w:rFonts w:ascii="Times New Roman" w:hAnsi="Times New Roman"/>
          <w:color w:val="auto"/>
          <w:highlight w:val="none"/>
        </w:rPr>
      </w:pPr>
    </w:p>
    <w:p w14:paraId="79AEFFAB">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统一社会信用代码</w:t>
      </w:r>
      <w:r>
        <w:rPr>
          <w:rFonts w:hint="eastAsia" w:ascii="Times New Roman" w:hAnsi="Times New Roman"/>
          <w:bCs/>
          <w:color w:val="auto"/>
          <w:szCs w:val="21"/>
          <w:highlight w:val="none"/>
        </w:rPr>
        <w:t>指按照《国务院关于批转发展改革委等部门法人和其他组织统一社会信用代码制度建设总体方案的通知》（国发〔2015〕33号）规定，由赋码主管部门给每一个法人单位和其他组织颁发的在全国范围内唯一的、终身不变的法定身份识别码。</w:t>
      </w:r>
    </w:p>
    <w:p w14:paraId="1785A5C6">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行政区划代码</w:t>
      </w:r>
      <w:r>
        <w:rPr>
          <w:rFonts w:ascii="Times New Roman" w:hAnsi="Times New Roman"/>
          <w:bCs/>
          <w:color w:val="auto"/>
          <w:szCs w:val="21"/>
          <w:highlight w:val="none"/>
        </w:rPr>
        <w:t>由企业根据实际办公所在地，按照国家统计局网站上公布的最新的县及</w:t>
      </w:r>
      <w:r>
        <w:rPr>
          <w:rFonts w:ascii="Times New Roman" w:hAnsi="Times New Roman"/>
          <w:bCs/>
          <w:color w:val="auto"/>
          <w:szCs w:val="24"/>
          <w:highlight w:val="none"/>
        </w:rPr>
        <w:t>以上行政区划代码填报</w:t>
      </w:r>
      <w:r>
        <w:rPr>
          <w:rFonts w:ascii="Times New Roman" w:hAnsi="Times New Roman"/>
          <w:bCs/>
          <w:color w:val="auto"/>
          <w:szCs w:val="21"/>
          <w:highlight w:val="none"/>
        </w:rPr>
        <w:t>，由6位数字组成。</w:t>
      </w:r>
    </w:p>
    <w:p w14:paraId="47A02EC8">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企业（单位）详细名称</w:t>
      </w:r>
      <w:r>
        <w:rPr>
          <w:rFonts w:hint="eastAsia" w:ascii="Times New Roman" w:hAnsi="Times New Roman"/>
          <w:bCs/>
          <w:color w:val="auto"/>
          <w:szCs w:val="21"/>
          <w:highlight w:val="none"/>
        </w:rPr>
        <w:t>指经有关部门批准正式使用的单位全称。</w:t>
      </w:r>
      <w:r>
        <w:rPr>
          <w:rFonts w:ascii="宋体" w:hAnsi="宋体" w:cs="宋体"/>
          <w:color w:val="auto"/>
          <w:szCs w:val="21"/>
          <w:highlight w:val="none"/>
        </w:rPr>
        <w:t>填写时要求使用规范化</w:t>
      </w:r>
      <w:r>
        <w:rPr>
          <w:rFonts w:hint="eastAsia" w:ascii="宋体" w:hAnsi="宋体" w:cs="宋体"/>
          <w:color w:val="auto"/>
          <w:szCs w:val="21"/>
          <w:highlight w:val="none"/>
          <w:lang w:eastAsia="zh-CN"/>
        </w:rPr>
        <w:t>中文</w:t>
      </w:r>
      <w:r>
        <w:rPr>
          <w:rFonts w:ascii="宋体" w:hAnsi="宋体" w:cs="宋体"/>
          <w:color w:val="auto"/>
          <w:szCs w:val="21"/>
          <w:highlight w:val="none"/>
        </w:rPr>
        <w:t>，并与单位公章所使用的名称完全一致，不得使用简称、缩写等。</w:t>
      </w:r>
    </w:p>
    <w:p w14:paraId="3CEACF5F">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企业（单位）英文名称</w:t>
      </w:r>
      <w:r>
        <w:rPr>
          <w:rFonts w:ascii="Times New Roman" w:hAnsi="Times New Roman"/>
          <w:bCs/>
          <w:color w:val="auto"/>
          <w:szCs w:val="21"/>
          <w:highlight w:val="none"/>
        </w:rPr>
        <w:t>选填项，如果有英文名称的企业（单位），请填写英文名称。</w:t>
      </w:r>
    </w:p>
    <w:p w14:paraId="19421AD9">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eastAsia="黑体"/>
          <w:bCs/>
          <w:color w:val="auto"/>
          <w:szCs w:val="21"/>
          <w:highlight w:val="none"/>
          <w:lang w:eastAsia="zh-CN"/>
        </w:rPr>
        <w:t>机构类型</w:t>
      </w:r>
      <w:r>
        <w:rPr>
          <w:rFonts w:hint="eastAsia" w:ascii="Times New Roman" w:hAnsi="Times New Roman"/>
          <w:bCs/>
          <w:color w:val="auto"/>
          <w:szCs w:val="21"/>
          <w:highlight w:val="none"/>
        </w:rPr>
        <w:t>分为企业、事业单位、社会团体、</w:t>
      </w:r>
      <w:r>
        <w:rPr>
          <w:rFonts w:ascii="宋体" w:hAnsi="宋体" w:cs="宋体"/>
          <w:color w:val="auto"/>
          <w:szCs w:val="21"/>
          <w:highlight w:val="none"/>
        </w:rPr>
        <w:t>民办非企业单位</w:t>
      </w:r>
      <w:r>
        <w:rPr>
          <w:rFonts w:hint="eastAsia" w:ascii="Times New Roman" w:hAnsi="Times New Roman"/>
          <w:bCs/>
          <w:color w:val="auto"/>
          <w:szCs w:val="21"/>
          <w:highlight w:val="none"/>
        </w:rPr>
        <w:t>和其他组织机构。</w:t>
      </w:r>
    </w:p>
    <w:p w14:paraId="1940D27B">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1.企业：包括（1）领取《企业法人营业执照》（或新版《营业执照》）的各类企业法人；（2）个人独资企业、合伙企业；（3）领取《营业执照》的企业法人分支机构或经营单位，个人独资企业和合伙企业的分支机构；（4）未经有关部门批准但实际从事生产经营活动、且符合产业活动单位条件的企业法人的组成部分。</w:t>
      </w:r>
    </w:p>
    <w:p w14:paraId="0B65F723">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2.事业单位：包括（1）经机构编制部门批准成立和登记或备案，领取《事业单位法人证书》，取得法人资格的单位；（2）事业法人单位的本部及分支机构或派出机构。</w:t>
      </w:r>
    </w:p>
    <w:p w14:paraId="59A28176">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lang w:val="en-US" w:eastAsia="zh-CN"/>
        </w:rPr>
        <w:t>3</w:t>
      </w:r>
      <w:r>
        <w:rPr>
          <w:rFonts w:hint="eastAsia" w:ascii="Times New Roman" w:hAnsi="Times New Roman"/>
          <w:bCs/>
          <w:color w:val="auto"/>
          <w:szCs w:val="21"/>
          <w:highlight w:val="none"/>
        </w:rPr>
        <w:t>.社会团体：指中国公民自愿组成，为实现会员共同意愿，按照其章程开展活动的非营利性社会组织。包括（1）经各级民政部门核准登记，领取《社会团体法人登记证书》的各类社会团体；（2）由各级机构编制管理部门直接管理其机构编制的群众团体；（3）经国务院批准可以免于登记的社会团体。</w:t>
      </w:r>
    </w:p>
    <w:p w14:paraId="4635A059">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lang w:val="en-US" w:eastAsia="zh-CN"/>
        </w:rPr>
        <w:t>4</w:t>
      </w:r>
      <w:r>
        <w:rPr>
          <w:rFonts w:hint="eastAsia" w:ascii="Times New Roman" w:hAnsi="Times New Roman"/>
          <w:bCs/>
          <w:color w:val="auto"/>
          <w:szCs w:val="21"/>
          <w:highlight w:val="none"/>
        </w:rPr>
        <w:t>.民办非企业单位：指企业单位、事业单位、社会团体和其他社会力量以及公民个人利用非国有资产举办的，从事非营利性社会服务的社会组织。民办非企业法人指经各级民政部门核准登记，领取《民办非企业单位登记证书》的民办非企业单位。</w:t>
      </w:r>
    </w:p>
    <w:p w14:paraId="4471DBE4">
      <w:pPr>
        <w:spacing w:line="400" w:lineRule="exact"/>
        <w:ind w:firstLine="420" w:firstLineChars="200"/>
        <w:rPr>
          <w:rFonts w:ascii="Times New Roman" w:hAnsi="Times New Roman"/>
          <w:bCs/>
          <w:color w:val="auto"/>
          <w:szCs w:val="21"/>
          <w:highlight w:val="none"/>
        </w:rPr>
      </w:pPr>
      <w:r>
        <w:rPr>
          <w:rFonts w:hint="eastAsia" w:ascii="Times New Roman" w:hAnsi="Times New Roman" w:eastAsia="宋体" w:cs="Times New Roman"/>
          <w:b w:val="0"/>
          <w:bCs/>
          <w:color w:val="auto"/>
          <w:sz w:val="21"/>
          <w:szCs w:val="21"/>
          <w:highlight w:val="none"/>
          <w:lang w:val="en-US" w:eastAsia="zh-CN"/>
        </w:rPr>
        <w:t>5.其他组织机构：指除企业、事业单位、机关、社会团体、民办非企业单位、基金会、居民委员会、村民委员会、农民专业合作社和农村集体经济组织以外的其他符合法人和产业活动单位条件的机构。包括：律师事务所、基层法律服务机构和各类宗教活动场所等。</w:t>
      </w:r>
    </w:p>
    <w:p w14:paraId="62322289">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企业注册地址</w:t>
      </w:r>
      <w:r>
        <w:rPr>
          <w:rFonts w:hint="eastAsia" w:ascii="Times New Roman" w:hAnsi="Times New Roman"/>
          <w:bCs/>
          <w:color w:val="auto"/>
          <w:szCs w:val="21"/>
          <w:highlight w:val="none"/>
        </w:rPr>
        <w:t>指单位在审批登记部门登记注册的地址。</w:t>
      </w:r>
    </w:p>
    <w:p w14:paraId="4371B960">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联系方式</w:t>
      </w:r>
      <w:r>
        <w:rPr>
          <w:rFonts w:hint="eastAsia" w:ascii="Times New Roman" w:hAnsi="Times New Roman"/>
          <w:bCs/>
          <w:color w:val="auto"/>
          <w:szCs w:val="21"/>
          <w:highlight w:val="none"/>
        </w:rPr>
        <w:t>包括固定电话、移动电话、传真电话和邮政编码等能够与单位取得联系的信息。</w:t>
      </w:r>
    </w:p>
    <w:p w14:paraId="1F94F929">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企业隶属关系</w:t>
      </w:r>
      <w:r>
        <w:rPr>
          <w:rFonts w:hint="eastAsia" w:ascii="Times New Roman" w:hAnsi="Times New Roman"/>
          <w:bCs/>
          <w:color w:val="auto"/>
          <w:szCs w:val="21"/>
          <w:highlight w:val="none"/>
        </w:rPr>
        <w:t>指本单位隶属于哪一级行政管理单位。具体分为中央、地方和其他。中央与地方双重领导的单位，以领导为主的一方来划分隶属中央或地方。</w:t>
      </w:r>
    </w:p>
    <w:p w14:paraId="3FDD2CF9">
      <w:pPr>
        <w:spacing w:line="400" w:lineRule="exact"/>
        <w:ind w:firstLine="420" w:firstLineChars="200"/>
        <w:rPr>
          <w:rFonts w:ascii="Times New Roman" w:hAnsi="Times New Roman"/>
          <w:bCs/>
          <w:color w:val="auto"/>
          <w:szCs w:val="21"/>
          <w:highlight w:val="none"/>
        </w:rPr>
      </w:pPr>
      <w:r>
        <w:rPr>
          <w:rFonts w:ascii="Times New Roman" w:hAnsi="Times New Roman"/>
          <w:bCs/>
          <w:color w:val="auto"/>
          <w:szCs w:val="21"/>
          <w:highlight w:val="none"/>
        </w:rPr>
        <w:t>隶属于“中央”的单位兴办的集体企业，隶属关系填“其他”；省属以下的企业（单位）办的企业（单位），其隶属关系与企业（单位）本身的隶属关系一致。</w:t>
      </w:r>
    </w:p>
    <w:p w14:paraId="5B3AD89A">
      <w:pPr>
        <w:spacing w:line="400" w:lineRule="exact"/>
        <w:ind w:firstLine="420" w:firstLineChars="200"/>
        <w:rPr>
          <w:rFonts w:ascii="Times New Roman" w:hAnsi="Times New Roman"/>
          <w:bCs/>
          <w:color w:val="auto"/>
          <w:szCs w:val="21"/>
          <w:highlight w:val="none"/>
        </w:rPr>
      </w:pPr>
      <w:r>
        <w:rPr>
          <w:rFonts w:ascii="Times New Roman" w:hAnsi="Times New Roman"/>
          <w:bCs/>
          <w:color w:val="auto"/>
          <w:szCs w:val="21"/>
          <w:highlight w:val="none"/>
        </w:rPr>
        <w:t>无主管部门的单位、本省（自治区、直辖市）在外省（自治区、直辖市）的办事机构所开办的第三产业等单位填“其他”。</w:t>
      </w:r>
    </w:p>
    <w:p w14:paraId="03C83DEF">
      <w:pPr>
        <w:spacing w:line="400" w:lineRule="exact"/>
        <w:ind w:firstLine="420" w:firstLineChars="200"/>
        <w:rPr>
          <w:rFonts w:ascii="Times New Roman" w:hAnsi="Times New Roman"/>
          <w:bCs/>
          <w:color w:val="auto"/>
          <w:sz w:val="24"/>
          <w:szCs w:val="24"/>
          <w:highlight w:val="none"/>
        </w:rPr>
      </w:pPr>
      <w:r>
        <w:rPr>
          <w:rFonts w:hint="eastAsia" w:ascii="Times New Roman" w:hAnsi="Times New Roman" w:eastAsia="黑体"/>
          <w:bCs/>
          <w:color w:val="auto"/>
          <w:szCs w:val="21"/>
          <w:highlight w:val="none"/>
        </w:rPr>
        <w:t>主要业务活动或主要产品</w:t>
      </w:r>
      <w:r>
        <w:rPr>
          <w:rFonts w:hint="eastAsia"/>
          <w:bCs/>
          <w:color w:val="auto"/>
          <w:szCs w:val="21"/>
          <w:highlight w:val="none"/>
        </w:rPr>
        <w:t>具体填写各单位的一至三种主要业务活动</w:t>
      </w:r>
      <w:r>
        <w:rPr>
          <w:rFonts w:hint="eastAsia"/>
          <w:bCs/>
          <w:color w:val="auto"/>
          <w:szCs w:val="21"/>
          <w:highlight w:val="none"/>
          <w:lang w:eastAsia="zh-CN"/>
        </w:rPr>
        <w:t>或主要产品</w:t>
      </w:r>
      <w:r>
        <w:rPr>
          <w:rFonts w:hint="eastAsia"/>
          <w:bCs/>
          <w:color w:val="auto"/>
          <w:szCs w:val="21"/>
          <w:highlight w:val="none"/>
        </w:rPr>
        <w:t>名称，并按其重要程度或增加值所占比重，从大到小顺序排列。</w:t>
      </w:r>
    </w:p>
    <w:p w14:paraId="10820EE1">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行业代码</w:t>
      </w:r>
      <w:r>
        <w:rPr>
          <w:rFonts w:hint="eastAsia" w:ascii="Times New Roman" w:hAnsi="Times New Roman"/>
          <w:bCs/>
          <w:color w:val="auto"/>
          <w:szCs w:val="21"/>
          <w:highlight w:val="none"/>
        </w:rPr>
        <w:t>对照《国民经济行业分类》（GB/T 4754－2017）填写行业代码</w:t>
      </w:r>
      <w:r>
        <w:rPr>
          <w:rFonts w:hint="eastAsia" w:ascii="Times New Roman" w:hAnsi="Times New Roman"/>
          <w:bCs/>
          <w:color w:val="auto"/>
          <w:szCs w:val="21"/>
          <w:highlight w:val="none"/>
          <w:lang w:eastAsia="zh-CN"/>
        </w:rPr>
        <w:t>。</w:t>
      </w:r>
      <w:r>
        <w:rPr>
          <w:rFonts w:ascii="Times New Roman" w:hAnsi="Times New Roman"/>
          <w:bCs/>
          <w:color w:val="auto"/>
          <w:szCs w:val="21"/>
          <w:highlight w:val="none"/>
        </w:rPr>
        <w:t>多种经济活动并存时，请选择最主要的一类填写。通过行业小类代码选择，反映企业经济活动性质。</w:t>
      </w:r>
    </w:p>
    <w:p w14:paraId="3935C638">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执行会计标准类别</w:t>
      </w:r>
      <w:r>
        <w:rPr>
          <w:rFonts w:hint="eastAsia" w:ascii="Times New Roman" w:hAnsi="Times New Roman"/>
          <w:bCs/>
          <w:color w:val="auto"/>
          <w:szCs w:val="21"/>
          <w:highlight w:val="none"/>
        </w:rPr>
        <w:t>分为执行企业会计准则制度、政府会计准则制度、民间非营利组织会计制度和其他四种情况。</w:t>
      </w:r>
      <w:r>
        <w:rPr>
          <w:rFonts w:ascii="Times New Roman" w:hAnsi="Times New Roman"/>
          <w:bCs/>
          <w:color w:val="auto"/>
          <w:szCs w:val="21"/>
          <w:highlight w:val="none"/>
        </w:rPr>
        <w:t>本项限法人单位填写。</w:t>
      </w:r>
    </w:p>
    <w:p w14:paraId="1EF33388">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1.企业会计准则制度：执行企业会计准则、小企业会计准则和企业会计制度的企业选填此项。包括已纳入企业财务管理体系的单位。</w:t>
      </w:r>
    </w:p>
    <w:p w14:paraId="72B0C503">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2.政府会计准则制度：执行政府会计准则的单位填报此项。包括与本级政府财政部门直接或者间接发生预算拨款关系的国家机关、政党组织、社会团体、事业单位和其他单位。不包括已纳入企业财务管理体系的单位。</w:t>
      </w:r>
    </w:p>
    <w:p w14:paraId="4E58E0DA">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3.民间非营利组织会计制度：执行民间非营利组织会计制度的单位选填此项。包括执行民间非营利组织会计制度的社会团体、基金会、民办非企业单位和寺院、宫、观、清真寺、教堂等。</w:t>
      </w:r>
    </w:p>
    <w:p w14:paraId="488CC8F2">
      <w:pPr>
        <w:spacing w:line="400" w:lineRule="exact"/>
        <w:ind w:firstLine="420" w:firstLineChars="200"/>
        <w:rPr>
          <w:rFonts w:ascii="Times New Roman" w:hAnsi="Times New Roman"/>
          <w:bCs/>
          <w:color w:val="auto"/>
          <w:szCs w:val="21"/>
          <w:highlight w:val="none"/>
        </w:rPr>
      </w:pPr>
      <w:r>
        <w:rPr>
          <w:rFonts w:hint="eastAsia" w:ascii="Times New Roman" w:hAnsi="Times New Roman"/>
          <w:bCs/>
          <w:color w:val="auto"/>
          <w:szCs w:val="21"/>
          <w:highlight w:val="none"/>
        </w:rPr>
        <w:t>4.其他：不执行以上三类会计制度的单位选填此项。</w:t>
      </w:r>
    </w:p>
    <w:p w14:paraId="22323BC5">
      <w:pPr>
        <w:spacing w:line="400" w:lineRule="exact"/>
        <w:ind w:firstLine="420" w:firstLineChars="200"/>
        <w:rPr>
          <w:rFonts w:hint="eastAsia" w:ascii="Times New Roman" w:hAnsi="Times New Roman"/>
          <w:bCs/>
          <w:color w:val="auto"/>
          <w:szCs w:val="21"/>
          <w:highlight w:val="none"/>
        </w:rPr>
      </w:pPr>
      <w:r>
        <w:rPr>
          <w:rFonts w:ascii="Times New Roman" w:hAnsi="Times New Roman" w:eastAsia="黑体"/>
          <w:bCs/>
          <w:color w:val="auto"/>
          <w:szCs w:val="21"/>
          <w:highlight w:val="none"/>
        </w:rPr>
        <w:t>企业执行会计准则情况</w:t>
      </w:r>
      <w:r>
        <w:rPr>
          <w:rFonts w:hint="eastAsia" w:ascii="Times New Roman" w:hAnsi="Times New Roman"/>
          <w:bCs/>
          <w:color w:val="auto"/>
          <w:szCs w:val="21"/>
          <w:highlight w:val="none"/>
        </w:rPr>
        <w:t>执行企业会计准则制度的法人单位按相应分类填写代码，具体的分类及代码是：</w:t>
      </w:r>
    </w:p>
    <w:p w14:paraId="1E0D479A">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1.执行《企业会计准则》（《企业会计准则--基本准则》见财政部第76号令，各项具体准则、准则解释等见财政部有关财会字文件）；</w:t>
      </w:r>
    </w:p>
    <w:p w14:paraId="6B725601">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2.执行《小企业会计准则》（见财政部财会〔2011〕17号文）；</w:t>
      </w:r>
    </w:p>
    <w:p w14:paraId="7DE6DCA4">
      <w:pPr>
        <w:spacing w:line="400" w:lineRule="exact"/>
        <w:ind w:firstLine="420" w:firstLineChars="200"/>
        <w:rPr>
          <w:rFonts w:ascii="Times New Roman" w:hAnsi="Times New Roman"/>
          <w:bCs/>
          <w:color w:val="auto"/>
          <w:szCs w:val="21"/>
          <w:highlight w:val="none"/>
        </w:rPr>
      </w:pPr>
      <w:r>
        <w:rPr>
          <w:rFonts w:hint="eastAsia" w:ascii="Times New Roman" w:hAnsi="Times New Roman"/>
          <w:bCs/>
          <w:color w:val="auto"/>
          <w:szCs w:val="21"/>
          <w:highlight w:val="none"/>
        </w:rPr>
        <w:t>3.执行《企业会计制度》（见财政部财会〔2000〕25号文）。</w:t>
      </w:r>
    </w:p>
    <w:p w14:paraId="47DA0A1E">
      <w:pPr>
        <w:spacing w:line="400" w:lineRule="exact"/>
        <w:ind w:firstLine="420" w:firstLineChars="200"/>
        <w:rPr>
          <w:rFonts w:hint="eastAsia" w:ascii="Times New Roman" w:hAnsi="Times New Roman" w:eastAsia="宋体"/>
          <w:bCs/>
          <w:color w:val="auto"/>
          <w:szCs w:val="21"/>
          <w:highlight w:val="none"/>
          <w:lang w:eastAsia="zh-CN"/>
        </w:rPr>
      </w:pPr>
      <w:r>
        <w:rPr>
          <w:rFonts w:ascii="Times New Roman" w:hAnsi="Times New Roman" w:eastAsia="黑体"/>
          <w:bCs/>
          <w:color w:val="auto"/>
          <w:szCs w:val="21"/>
          <w:highlight w:val="none"/>
        </w:rPr>
        <w:t>登记注册</w:t>
      </w:r>
      <w:r>
        <w:rPr>
          <w:rFonts w:hint="eastAsia" w:ascii="Times New Roman" w:hAnsi="Times New Roman" w:eastAsia="黑体"/>
          <w:bCs/>
          <w:color w:val="auto"/>
          <w:szCs w:val="21"/>
          <w:highlight w:val="none"/>
          <w:lang w:eastAsia="zh-CN"/>
        </w:rPr>
        <w:t>统计类别</w:t>
      </w:r>
      <w:r>
        <w:rPr>
          <w:rFonts w:hint="default" w:ascii="Times New Roman" w:hAnsi="Times New Roman"/>
          <w:bCs/>
          <w:color w:val="auto"/>
          <w:szCs w:val="21"/>
          <w:highlight w:val="none"/>
        </w:rPr>
        <w:t>企业单位的登记注册统计类别，依据《关于市场主体统计分类的划分规定》填写。机关、事业单位和社会团体及其他组织的登记注册统计类别，依据主要经费来源和管理方式，根据实际情况，比照《关于市场主体统计分类的划分规定》确定。</w:t>
      </w:r>
    </w:p>
    <w:p w14:paraId="474A49AD">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（1）企业参照《营业执照》中的“类型”“公司类型”“合伙企业类型”“经营范围及方式”等填写，无法直接根据登记事项填写的，需根据投资人情况填写。</w:t>
      </w:r>
    </w:p>
    <w:p w14:paraId="50EC1993">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登记注册为“有限责任公司（国有独资）”“有限责任公司分公司（国有独资）”，选填“111国有独资公司”。</w:t>
      </w:r>
    </w:p>
    <w:p w14:paraId="6DD21BCE">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有限责任公司（自然人投资或控股）”“有限责任公司（自然人独资）”“有限责任公司（自然人投资或控股的法人独资）”“有限责任公司分公司（自然人投资或控股）”“有限责任公司分公司（自然人独资）”“有限责任公司分公司（自然人投资或控股的法人独资）”，选填“112私营有限责任公司”。</w:t>
      </w:r>
    </w:p>
    <w:p w14:paraId="705588C4">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有限责任公司（外商投资企业投资）”“有限责任公司（国有控股）”“有限责任公司（非自然人投资或控股的法人独资）”“其他有限责任公司”“有限责任公司分公司（外商投资企业投资）”“有限责任分公司（国有控股）”“有限责任分公司（非自然人投资或控股的法人独资）”“其他有限责任公司分公司”，选填“119其他有限责任公司”。</w:t>
      </w:r>
    </w:p>
    <w:p w14:paraId="4E9005DF">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股份有限公司（上市、自然人投资或控股）”“股份有限公司（非上市、自然人投资或控股）”“股份有限公司分公司（上市、自然人投资或控股）”“股份有限公司分公司（非上市、自然人投资或控股）”，选填“121私营股份有限公司”。</w:t>
      </w:r>
    </w:p>
    <w:p w14:paraId="304DE356">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股份有限公司（上市、外商投资企业投资）”“股份有限公司（上市、国有控股）”“其他股份有限公司（上市）”“股份有限公司（非上市、外商投资企业投资）”“股份有限公司（非上市、国有控股）”“其他股份有限公司（非上市）”“股份有限公司分公司（上市、外商投资企业投资）”“股份有限公司分公司（上市、国有控股）”“其他股份有限公司分公司（上市）”“股份有限公司分公司（非上市、外商投资企业投资）”“股份有限公司分公司（非上市、国有控股）”“其他股份有限公司分公司（非上市）”，选填“129其他股份有限公司”。</w:t>
      </w:r>
    </w:p>
    <w:p w14:paraId="6AA77632">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登记注册为“全民所有制”“国有事业单位营业”“国有社团法人营业”“全民所有制分支机构（非法人）”“国有经营单位（非法人）”，选填“131全民所有制企业（国有企业）”。</w:t>
      </w:r>
    </w:p>
    <w:p w14:paraId="56F42DB5">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登记注册为“集体所有制”“集体事业单位营业”“集体社团法人营业”“集体分支机构（非法人）”“集体经营单位（非法人）”，选填“132集体所有制企业（集体企业）”。</w:t>
      </w:r>
    </w:p>
    <w:p w14:paraId="584740CF">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登记注册为“股份合作制”“股份合作制分支机构”，选填“133股份合作企业”。</w:t>
      </w:r>
    </w:p>
    <w:p w14:paraId="287C7EBC">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登记注册为“联营”，选填“134联营企业”。</w:t>
      </w:r>
    </w:p>
    <w:p w14:paraId="5E3BCCF5">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登记注册为“个人独资企业”“个人独资企业分支机构”，选填“140个人独资企业”。</w:t>
      </w:r>
    </w:p>
    <w:p w14:paraId="5B75153C">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登记注册为“股份制”“股份制分支机构”“股份制企业（非法人）”，选填“190其他内资企业”。</w:t>
      </w:r>
    </w:p>
    <w:p w14:paraId="24332C34">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有限责任公司(中外合资)”“有限责任公司(中外合作)”“有限责任公司(外商合资)”“有限责任公司(外国自然人独资)”“有限责任公司(外国法人独资)”“有限责任公司(外国非法人经济组织独资)”“有限责任公司(外商投资、非独资)”，选填“210港澳台投资有限责任公司”。</w:t>
      </w:r>
    </w:p>
    <w:p w14:paraId="1711E17D">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股份有限公司(中外合资、未上市)”“股份有限公司(中外合资、上市)”“股份有限公司(外商合资、未上市)”“股份有限公司(外商合资、上市)”“股份有限公司(外商投资、未上市)”“股份有限公司(外商投资、上市)”，选填“220港澳台投资股份有限公司”。</w:t>
      </w:r>
    </w:p>
    <w:p w14:paraId="2A400290">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登记注册为“非公司港、澳、台企业(港澳台与境内合作)”“非公司港、澳、台企业(港澳台与境内合作)”“非公司港、澳、台投资企业分支机构”，选填“290其他港澳台投资企业”。</w:t>
      </w:r>
    </w:p>
    <w:p w14:paraId="1B94B110">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有限责任公司(中外合资)”“有限责任公司(中外合作)”“有限责任公司(外商合资)”“有限责任公司(外国自然人独资)”“有限责任公司(外国法人独资)”“有限责任公司(外国非法人经济组织独资)”“有限责任公司(外商投资、非独资)”，选填“310外商投资有限责任公司”。</w:t>
      </w:r>
    </w:p>
    <w:p w14:paraId="7985BBF3">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股份有限公司(中外合资、未上市)”“股份有限公司(中外合资、上市)”“股份有限公司(外商合资、未上市)”“股份有限公司(外商合资、上市)”“股份有限公司(外商投资、未上市)”“股份有限公司(外商投资、上市)”“外国(地区)股份有限责任公司分支机构”，选填“320外商投资股份有限公司”。</w:t>
      </w:r>
    </w:p>
    <w:p w14:paraId="6EF97154">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登记注册为“非公司外商投资企业(中外合作)”“非公司外商投资企业(外商合资)”“非公司外商投资企业分支机构”“外国(地区)无限责任公司分支机构”“外国(地区)其他形式公司分支机构”“外国(地区)企业常驻代表机构”“”，选填“390其他外商投资企业”。</w:t>
      </w:r>
    </w:p>
    <w:p w14:paraId="39782BD6">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（2）机关、事业单位、机构编制部门管理的群众团体，应选填“131全民所有制企业（国有企业）”；</w:t>
      </w:r>
    </w:p>
    <w:p w14:paraId="77BB13D9">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（3）登记注册为“农民专业合作社”“农民专业合作社分支机构”，选填“400农民专业合作社（联合社）”。</w:t>
      </w:r>
    </w:p>
    <w:p w14:paraId="61E9729A">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（4）农村集体经济组织、社区（居委会）、村委会应选填“132集体所有制企业（集体企业）”；</w:t>
      </w:r>
    </w:p>
    <w:p w14:paraId="1C2CF798">
      <w:pPr>
        <w:spacing w:line="400" w:lineRule="exact"/>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5）其他非企业单位根据主要经费来源和管理方式填写。国家负担经费或管理的，应选填“131全民所有制企业（国有企业）”；集体负担经费或管理的，应选填“132集体所有制企业（集体企业）”；个人负担经费或管理的，应选填“140个人独资企业”；合伙负担经费或管理的，应选填“150合伙企业”；无法识别经费来源或管理方的，应选填“900其他市场主体”。</w:t>
      </w:r>
    </w:p>
    <w:p w14:paraId="346E2B43">
      <w:pPr>
        <w:snapToGrid/>
        <w:spacing w:line="400" w:lineRule="exact"/>
        <w:ind w:firstLine="420" w:firstLineChars="200"/>
        <w:rPr>
          <w:rFonts w:ascii="Times New Roman" w:hAnsi="Times New Roman"/>
          <w:bCs/>
          <w:color w:val="auto"/>
          <w:szCs w:val="21"/>
          <w:highlight w:val="none"/>
        </w:rPr>
      </w:pPr>
      <w:r>
        <w:rPr>
          <w:rFonts w:hint="eastAsia" w:ascii="宋体" w:hAnsi="宋体" w:eastAsia="宋体"/>
          <w:bCs/>
          <w:color w:val="auto"/>
          <w:szCs w:val="21"/>
          <w:highlight w:val="none"/>
        </w:rPr>
        <w:t>（6）如单位登记注册统计类别改变，但未重新办理变更登记，应按原登记注册统计类别填写。</w:t>
      </w:r>
    </w:p>
    <w:p w14:paraId="0B34797F">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主要外资来源国或地区</w:t>
      </w:r>
      <w:r>
        <w:rPr>
          <w:rFonts w:hint="eastAsia" w:ascii="Times New Roman" w:hAnsi="Times New Roman" w:eastAsia="黑体"/>
          <w:bCs/>
          <w:color w:val="auto"/>
          <w:szCs w:val="21"/>
          <w:highlight w:val="none"/>
          <w:lang w:eastAsia="zh-CN"/>
        </w:rPr>
        <w:t>的</w:t>
      </w:r>
      <w:r>
        <w:rPr>
          <w:rFonts w:ascii="Times New Roman" w:hAnsi="Times New Roman" w:eastAsia="黑体"/>
          <w:bCs/>
          <w:color w:val="auto"/>
          <w:szCs w:val="21"/>
          <w:highlight w:val="none"/>
        </w:rPr>
        <w:t>国别（地区）</w:t>
      </w:r>
      <w:r>
        <w:rPr>
          <w:rFonts w:hint="eastAsia" w:ascii="Times New Roman" w:hAnsi="Times New Roman" w:eastAsia="黑体"/>
          <w:bCs/>
          <w:color w:val="auto"/>
          <w:szCs w:val="21"/>
          <w:highlight w:val="none"/>
          <w:lang w:eastAsia="zh-CN"/>
        </w:rPr>
        <w:t>名称</w:t>
      </w:r>
      <w:r>
        <w:rPr>
          <w:rFonts w:ascii="Times New Roman" w:hAnsi="Times New Roman" w:eastAsia="黑体"/>
          <w:bCs/>
          <w:color w:val="auto"/>
          <w:szCs w:val="21"/>
          <w:highlight w:val="none"/>
        </w:rPr>
        <w:t>代码</w:t>
      </w:r>
      <w:r>
        <w:rPr>
          <w:rFonts w:ascii="Times New Roman" w:hAnsi="Times New Roman"/>
          <w:bCs/>
          <w:color w:val="auto"/>
          <w:szCs w:val="21"/>
          <w:highlight w:val="none"/>
        </w:rPr>
        <w:t>限企业登记注册类型为港澳台商投资和外商投资的企业填报。按照国家统计局2004年颁布的《国别</w:t>
      </w:r>
      <w:r>
        <w:rPr>
          <w:rFonts w:ascii="宋体" w:hAnsi="宋体"/>
          <w:bCs/>
          <w:color w:val="auto"/>
          <w:szCs w:val="21"/>
          <w:highlight w:val="none"/>
        </w:rPr>
        <w:t>(</w:t>
      </w:r>
      <w:r>
        <w:rPr>
          <w:rFonts w:ascii="Times New Roman" w:hAnsi="Times New Roman"/>
          <w:bCs/>
          <w:color w:val="auto"/>
          <w:szCs w:val="21"/>
          <w:highlight w:val="none"/>
        </w:rPr>
        <w:t>地区</w:t>
      </w:r>
      <w:r>
        <w:rPr>
          <w:rFonts w:ascii="宋体" w:hAnsi="宋体" w:eastAsia="宋体"/>
          <w:bCs/>
          <w:color w:val="auto"/>
          <w:szCs w:val="21"/>
          <w:highlight w:val="none"/>
        </w:rPr>
        <w:t>)</w:t>
      </w:r>
      <w:r>
        <w:rPr>
          <w:rFonts w:ascii="Times New Roman" w:hAnsi="Times New Roman"/>
          <w:bCs/>
          <w:color w:val="auto"/>
          <w:szCs w:val="21"/>
          <w:highlight w:val="none"/>
        </w:rPr>
        <w:t>统计代码表》填写主要外资来源国或地区的国别（地区）代码。</w:t>
      </w:r>
    </w:p>
    <w:p w14:paraId="3CD12ECD">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企业控股情况</w:t>
      </w:r>
      <w:r>
        <w:rPr>
          <w:rFonts w:hint="eastAsia" w:ascii="Times New Roman" w:hAnsi="Times New Roman"/>
          <w:bCs/>
          <w:color w:val="auto"/>
          <w:szCs w:val="21"/>
          <w:highlight w:val="none"/>
        </w:rPr>
        <w:t>根据企业实收资本中某种经济成分的出资人的实际投资情况，或出资人对企业资产的实际控制、支配程度进行分类。具体分为国有控股、集体控股、私人控股、港澳台商控股、外商控股和其他六类。</w:t>
      </w:r>
    </w:p>
    <w:p w14:paraId="2DE48192">
      <w:pPr>
        <w:snapToGrid w:val="0"/>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1.国有控股：包括（1）在企业的全部实收资本中，国有经济成分的出资人拥有的实收资本（股本）所占企业全部实收资本（股本）的比例大于50%的国有绝对控股；（2）在企业的全部实收资本中，国有经济成分的出资人拥有的实收资本（股本）所占比例虽未大于50%，但相对大于其他任何一方经济成分的出资人所占比例的国有相对控股；或者虽不大于其他经济成分，但根据协议规定拥有企业实际控制权的国有协议控股。（3）投资双方各占50%，且未明确由谁绝对控股的企业，若其中一方为国有经济成分的，一律按国有控股处理。</w:t>
      </w:r>
    </w:p>
    <w:p w14:paraId="0BADFC6E">
      <w:pPr>
        <w:snapToGrid w:val="0"/>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2.集体控股：包括（1）在企业的全部实收资本中，集体经济成分的出资人拥有的实收资本（股本）所占企业全部实收资本（股本）的比例大于50%的集体绝对控股；（2）在企业的全部实收资本中，集体经济成分的出资人拥有的实收资本（股本）所占比例虽未大于50%，但相对大于其他任何一方经济成分的出资人所占比例的集体相对控股；或者虽不大于其他经济成分，但根据协议规定拥有企业实际控制权的集体协议控股。</w:t>
      </w:r>
    </w:p>
    <w:p w14:paraId="56FEDE17">
      <w:pPr>
        <w:snapToGrid w:val="0"/>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3.私人控股：包括（1）在企业的全部实收资本中，私人经济成分的出资人拥有的实收资本（股本）所占企业全部实收资本（股本）的比例大于50%的私人绝对控股；（2）在企业的全部实收资本中，私人经济成分的出资人拥有的实收资本（股本）所占比例虽未大于50%，但相对大于其他任何一方经济成分的出资人所占比例的私人相对控股；或者虽不大于其他经济成分，但根据协议规定拥有企业实际控制权的私人协议控股。</w:t>
      </w:r>
    </w:p>
    <w:p w14:paraId="15F3D924">
      <w:pPr>
        <w:snapToGrid w:val="0"/>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4.港澳台商控股：包括（1）在企业的全部实收资本中，港澳台商经济成分的出资人拥有的实收资本（股本）所占企业全部实收资本（股本）的比例大于50%的港澳台商绝对控股；（2）在企业的全部实收资本中，港澳台商经济成分的出资人拥有的实收资本（股本）所占比例虽未大于50%，但相对大于其他任何一方经济成分的出资人所占比例的港澳台商相对控股；或者虽不大于其他经济成分，但根据协议规定拥有企业实际控制权的港澳台商协议控股。</w:t>
      </w:r>
    </w:p>
    <w:p w14:paraId="2CA48490">
      <w:pPr>
        <w:snapToGrid w:val="0"/>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5.外商控股：包括（1）在企业的全部实收资本中，外商经济成分的出资人拥有的实收资本（股本）所占企业全部实收资本（股本）的比例大于50%的外商绝对控股；（2）在企业的全部实收资本中，外商经济成分的出资人拥有的实收资本（股本）所占比例虽未大于50%，但相对大于其他任何一方经济成分的出资人所占比例的外商相对控股；或者虽不大于其他经济成分，但根据协议规定拥有企业实际控制权的外商协议控股。</w:t>
      </w:r>
    </w:p>
    <w:p w14:paraId="19E2A23D">
      <w:pPr>
        <w:snapToGrid w:val="0"/>
        <w:spacing w:line="400" w:lineRule="exact"/>
        <w:ind w:firstLine="420" w:firstLineChars="200"/>
        <w:rPr>
          <w:rFonts w:ascii="Times New Roman" w:hAnsi="Times New Roman"/>
          <w:bCs/>
          <w:color w:val="auto"/>
          <w:szCs w:val="21"/>
          <w:highlight w:val="none"/>
        </w:rPr>
      </w:pPr>
      <w:r>
        <w:rPr>
          <w:rFonts w:hint="eastAsia" w:ascii="Times New Roman" w:hAnsi="Times New Roman"/>
          <w:bCs/>
          <w:color w:val="auto"/>
          <w:szCs w:val="21"/>
          <w:highlight w:val="none"/>
        </w:rPr>
        <w:t>6.其他：除上述五类以外的企业控股情况。</w:t>
      </w:r>
    </w:p>
    <w:p w14:paraId="52C1A0AD">
      <w:pPr>
        <w:snapToGrid w:val="0"/>
        <w:spacing w:line="400" w:lineRule="exact"/>
        <w:ind w:firstLine="420" w:firstLineChars="0"/>
        <w:rPr>
          <w:rFonts w:ascii="Times New Roman" w:hAnsi="Times New Roman"/>
          <w:bCs/>
          <w:color w:val="auto"/>
          <w:szCs w:val="21"/>
          <w:highlight w:val="none"/>
        </w:rPr>
      </w:pPr>
      <w:r>
        <w:rPr>
          <w:rFonts w:hint="default" w:ascii="Times New Roman" w:hAnsi="Times New Roman" w:eastAsia="黑体"/>
          <w:bCs/>
          <w:color w:val="auto"/>
          <w:szCs w:val="21"/>
          <w:highlight w:val="none"/>
        </w:rPr>
        <w:t>港澳台商投资情况</w:t>
      </w:r>
      <w:r>
        <w:rPr>
          <w:rFonts w:hint="default" w:ascii="Times New Roman" w:hAnsi="Times New Roman" w:eastAsia="宋体" w:cs="Times New Roman"/>
          <w:bCs/>
          <w:color w:val="auto"/>
          <w:szCs w:val="21"/>
          <w:highlight w:val="none"/>
        </w:rPr>
        <w:t>港商投</w:t>
      </w:r>
      <w:r>
        <w:rPr>
          <w:rFonts w:hint="default" w:ascii="Times New Roman" w:hAnsi="Times New Roman"/>
          <w:bCs/>
          <w:color w:val="auto"/>
          <w:szCs w:val="21"/>
          <w:highlight w:val="none"/>
        </w:rPr>
        <w:t>资、澳商投资和台商投资分别指香港特别行政区、澳门特别行政区和台湾地区投资者依照相关法律规定在中国内地进行各种直接投资的形式。限全部港澳台投资企业填写。暂未投资，是指单位在市场监管部门登记注册的类型是港澳台商投资单位，但是尚未有港、澳、台商的资金投入。</w:t>
      </w:r>
    </w:p>
    <w:p w14:paraId="3DDD7558">
      <w:pPr>
        <w:keepNext w:val="0"/>
        <w:keepLines w:val="0"/>
        <w:widowControl/>
        <w:suppressLineNumbers w:val="0"/>
        <w:snapToGrid w:val="0"/>
        <w:spacing w:line="400" w:lineRule="exact"/>
        <w:ind w:firstLine="420" w:firstLineChars="200"/>
        <w:jc w:val="left"/>
        <w:rPr>
          <w:rFonts w:hint="eastAsia" w:ascii="Times New Roman" w:hAnsi="Times New Roman" w:eastAsia="宋体" w:cs="Times New Roman"/>
          <w:bCs/>
          <w:color w:val="auto"/>
          <w:szCs w:val="21"/>
          <w:highlight w:val="none"/>
        </w:rPr>
      </w:pPr>
      <w:r>
        <w:rPr>
          <w:rFonts w:hint="default" w:ascii="Times New Roman" w:hAnsi="Times New Roman" w:eastAsia="黑体" w:cs="Times New Roman"/>
          <w:bCs/>
          <w:i w:val="0"/>
          <w:iCs w:val="0"/>
          <w:caps w:val="0"/>
          <w:color w:val="auto"/>
          <w:spacing w:val="0"/>
          <w:sz w:val="21"/>
          <w:szCs w:val="21"/>
          <w:highlight w:val="none"/>
          <w:shd w:val="clear" w:color="auto" w:fill="auto"/>
          <w:lang w:eastAsia="zh-CN"/>
        </w:rPr>
        <w:t>用地</w:t>
      </w:r>
      <w:r>
        <w:rPr>
          <w:rFonts w:hint="eastAsia" w:ascii="Times New Roman" w:hAnsi="Times New Roman" w:eastAsia="黑体" w:cs="Times New Roman"/>
          <w:bCs/>
          <w:i w:val="0"/>
          <w:iCs w:val="0"/>
          <w:caps w:val="0"/>
          <w:color w:val="auto"/>
          <w:spacing w:val="0"/>
          <w:sz w:val="21"/>
          <w:szCs w:val="21"/>
          <w:highlight w:val="none"/>
          <w:shd w:val="clear" w:color="auto" w:fill="auto"/>
        </w:rPr>
        <w:t>面积</w:t>
      </w:r>
      <w:r>
        <w:rPr>
          <w:rFonts w:hint="eastAsia" w:ascii="Times New Roman" w:hAnsi="Times New Roman" w:eastAsia="宋体" w:cs="Times New Roman"/>
          <w:bCs/>
          <w:i w:val="0"/>
          <w:iCs w:val="0"/>
          <w:caps w:val="0"/>
          <w:color w:val="auto"/>
          <w:spacing w:val="0"/>
          <w:sz w:val="21"/>
          <w:szCs w:val="21"/>
          <w:highlight w:val="none"/>
          <w:shd w:val="clear" w:color="auto" w:fill="auto"/>
        </w:rPr>
        <w:t>指企业自有或租赁使用的</w:t>
      </w:r>
      <w:r>
        <w:rPr>
          <w:rFonts w:hint="eastAsia" w:ascii="Times New Roman" w:hAnsi="Times New Roman" w:eastAsia="宋体" w:cs="Times New Roman"/>
          <w:bCs/>
          <w:i w:val="0"/>
          <w:iCs w:val="0"/>
          <w:caps w:val="0"/>
          <w:color w:val="auto"/>
          <w:spacing w:val="0"/>
          <w:sz w:val="21"/>
          <w:szCs w:val="21"/>
          <w:highlight w:val="none"/>
          <w:shd w:val="clear" w:color="auto" w:fill="auto"/>
          <w:lang w:eastAsia="zh-CN"/>
        </w:rPr>
        <w:t>，</w:t>
      </w:r>
      <w:r>
        <w:rPr>
          <w:rFonts w:hint="eastAsia" w:ascii="Times New Roman" w:hAnsi="Times New Roman" w:eastAsia="宋体" w:cs="Times New Roman"/>
          <w:bCs/>
          <w:color w:val="auto"/>
          <w:kern w:val="2"/>
          <w:sz w:val="21"/>
          <w:szCs w:val="21"/>
          <w:highlight w:val="none"/>
          <w:lang w:val="en-US" w:eastAsia="zh-CN" w:bidi="ar"/>
        </w:rPr>
        <w:t>经土地和规划许可并经红线圈定的可用于房屋建筑以及各类配套、道路、绿化等在内的全部建设用地面积。</w:t>
      </w:r>
      <w:r>
        <w:rPr>
          <w:rFonts w:hint="eastAsia" w:ascii="Times New Roman" w:hAnsi="Times New Roman" w:eastAsia="宋体" w:cs="Times New Roman"/>
          <w:bCs/>
          <w:i w:val="0"/>
          <w:iCs w:val="0"/>
          <w:caps w:val="0"/>
          <w:color w:val="auto"/>
          <w:spacing w:val="0"/>
          <w:sz w:val="21"/>
          <w:szCs w:val="21"/>
          <w:highlight w:val="none"/>
          <w:shd w:val="clear" w:color="auto" w:fill="auto"/>
        </w:rPr>
        <w:t>按照实际占用原则计算。具体包括已建成、在建和待建的生产性、辅助生产性和非生产性配套设施以及企业经营、管理和服务部门的</w:t>
      </w:r>
      <w:r>
        <w:rPr>
          <w:rFonts w:hint="eastAsia" w:ascii="Times New Roman" w:hAnsi="Times New Roman" w:eastAsia="宋体" w:cs="Times New Roman"/>
          <w:bCs/>
          <w:i w:val="0"/>
          <w:iCs w:val="0"/>
          <w:caps w:val="0"/>
          <w:color w:val="auto"/>
          <w:spacing w:val="0"/>
          <w:sz w:val="21"/>
          <w:szCs w:val="21"/>
          <w:highlight w:val="none"/>
          <w:shd w:val="clear" w:color="auto" w:fill="auto"/>
          <w:lang w:eastAsia="zh-CN"/>
        </w:rPr>
        <w:t>用</w:t>
      </w:r>
      <w:r>
        <w:rPr>
          <w:rFonts w:hint="eastAsia" w:ascii="Times New Roman" w:hAnsi="Times New Roman" w:eastAsia="宋体" w:cs="Times New Roman"/>
          <w:bCs/>
          <w:i w:val="0"/>
          <w:iCs w:val="0"/>
          <w:caps w:val="0"/>
          <w:color w:val="auto"/>
          <w:spacing w:val="0"/>
          <w:sz w:val="21"/>
          <w:szCs w:val="21"/>
          <w:highlight w:val="none"/>
          <w:shd w:val="clear" w:color="auto" w:fill="auto"/>
        </w:rPr>
        <w:t>地面积；未办理国有建筑用地使用权证的，或没有国有建设用地使用权出让合同或划拨决定书，但企业实际占用的面积。</w:t>
      </w:r>
    </w:p>
    <w:p w14:paraId="5303501C">
      <w:pPr>
        <w:snapToGrid w:val="0"/>
        <w:spacing w:line="400" w:lineRule="exact"/>
        <w:ind w:firstLine="420" w:firstLineChars="200"/>
        <w:rPr>
          <w:rFonts w:ascii="Times New Roman" w:hAnsi="Times New Roman"/>
          <w:bCs/>
          <w:color w:val="auto"/>
          <w:szCs w:val="21"/>
          <w:highlight w:val="none"/>
        </w:rPr>
      </w:pPr>
      <w:r>
        <w:rPr>
          <w:rFonts w:hint="default" w:ascii="Times New Roman" w:hAnsi="Times New Roman" w:eastAsia="黑体"/>
          <w:bCs/>
          <w:color w:val="auto"/>
          <w:szCs w:val="21"/>
          <w:highlight w:val="none"/>
        </w:rPr>
        <w:t>建筑面积</w:t>
      </w:r>
      <w:r>
        <w:rPr>
          <w:rFonts w:hint="eastAsia" w:ascii="Times New Roman" w:hAnsi="Times New Roman" w:eastAsia="宋体" w:cs="Times New Roman"/>
          <w:bCs/>
          <w:i w:val="0"/>
          <w:iCs w:val="0"/>
          <w:caps w:val="0"/>
          <w:color w:val="auto"/>
          <w:spacing w:val="0"/>
          <w:sz w:val="21"/>
          <w:szCs w:val="21"/>
          <w:highlight w:val="none"/>
          <w:shd w:val="clear" w:color="auto" w:fill="auto"/>
        </w:rPr>
        <w:t>指企业自有或租赁使用的</w:t>
      </w:r>
      <w:r>
        <w:rPr>
          <w:rFonts w:hint="eastAsia" w:ascii="Times New Roman" w:hAnsi="Times New Roman" w:eastAsia="宋体" w:cs="Times New Roman"/>
          <w:bCs/>
          <w:i w:val="0"/>
          <w:iCs w:val="0"/>
          <w:caps w:val="0"/>
          <w:color w:val="auto"/>
          <w:spacing w:val="0"/>
          <w:sz w:val="21"/>
          <w:szCs w:val="21"/>
          <w:highlight w:val="none"/>
          <w:shd w:val="clear" w:color="auto" w:fill="auto"/>
          <w:lang w:eastAsia="zh-CN"/>
        </w:rPr>
        <w:t>，</w:t>
      </w:r>
      <w:r>
        <w:rPr>
          <w:rFonts w:hint="default" w:ascii="Times New Roman" w:hAnsi="Times New Roman" w:eastAsia="宋体"/>
          <w:bCs/>
          <w:color w:val="auto"/>
          <w:szCs w:val="21"/>
          <w:highlight w:val="none"/>
        </w:rPr>
        <w:t>已建成的建筑外墙外围线测定的各层平面面积之和。</w:t>
      </w:r>
      <w:r>
        <w:rPr>
          <w:rFonts w:hint="eastAsia" w:ascii="Times New Roman" w:hAnsi="Times New Roman" w:eastAsia="宋体"/>
          <w:bCs/>
          <w:color w:val="auto"/>
          <w:szCs w:val="21"/>
          <w:highlight w:val="none"/>
          <w:lang w:eastAsia="zh-CN"/>
        </w:rPr>
        <w:t>不包括自有但已出租的面积。</w:t>
      </w:r>
    </w:p>
    <w:p w14:paraId="0F470ADB">
      <w:pPr>
        <w:snapToGrid w:val="0"/>
        <w:spacing w:line="400" w:lineRule="exact"/>
        <w:ind w:firstLine="420" w:firstLineChars="200"/>
        <w:rPr>
          <w:rFonts w:hint="default" w:ascii="Times New Roman" w:hAnsi="Times New Roman"/>
          <w:bCs/>
          <w:color w:val="auto"/>
          <w:szCs w:val="21"/>
          <w:highlight w:val="none"/>
        </w:rPr>
      </w:pPr>
      <w:r>
        <w:rPr>
          <w:rFonts w:hint="eastAsia" w:ascii="Times New Roman" w:hAnsi="Times New Roman" w:eastAsia="黑体"/>
          <w:bCs/>
          <w:color w:val="auto"/>
          <w:szCs w:val="21"/>
          <w:highlight w:val="none"/>
          <w:lang w:eastAsia="zh-CN"/>
        </w:rPr>
        <w:t>用于</w:t>
      </w:r>
      <w:r>
        <w:rPr>
          <w:rFonts w:hint="default" w:ascii="Times New Roman" w:hAnsi="Times New Roman" w:eastAsia="黑体"/>
          <w:bCs/>
          <w:color w:val="auto"/>
          <w:szCs w:val="21"/>
          <w:highlight w:val="none"/>
        </w:rPr>
        <w:t>生产</w:t>
      </w:r>
      <w:r>
        <w:rPr>
          <w:rFonts w:hint="eastAsia" w:ascii="Times New Roman" w:hAnsi="Times New Roman" w:eastAsia="黑体"/>
          <w:bCs/>
          <w:color w:val="auto"/>
          <w:szCs w:val="21"/>
          <w:highlight w:val="none"/>
          <w:lang w:eastAsia="zh-CN"/>
        </w:rPr>
        <w:t>的建筑面积</w:t>
      </w:r>
      <w:r>
        <w:rPr>
          <w:rFonts w:hint="default" w:ascii="Times New Roman" w:hAnsi="Times New Roman"/>
          <w:bCs/>
          <w:color w:val="auto"/>
          <w:szCs w:val="21"/>
          <w:highlight w:val="none"/>
        </w:rPr>
        <w:t>指企业</w:t>
      </w:r>
      <w:r>
        <w:rPr>
          <w:rFonts w:hint="eastAsia" w:ascii="Times New Roman" w:hAnsi="Times New Roman"/>
          <w:bCs/>
          <w:color w:val="auto"/>
          <w:szCs w:val="21"/>
          <w:highlight w:val="none"/>
          <w:lang w:eastAsia="zh-CN"/>
        </w:rPr>
        <w:t>用于</w:t>
      </w:r>
      <w:r>
        <w:rPr>
          <w:rFonts w:hint="eastAsia" w:ascii="Times New Roman" w:hAnsi="Times New Roman" w:eastAsia="宋体" w:cs="Times New Roman"/>
          <w:bCs/>
          <w:i w:val="0"/>
          <w:iCs w:val="0"/>
          <w:caps w:val="0"/>
          <w:color w:val="auto"/>
          <w:spacing w:val="0"/>
          <w:sz w:val="21"/>
          <w:szCs w:val="21"/>
          <w:highlight w:val="none"/>
          <w:shd w:val="clear" w:color="auto" w:fill="auto"/>
        </w:rPr>
        <w:t>生产</w:t>
      </w:r>
      <w:r>
        <w:rPr>
          <w:rFonts w:hint="eastAsia" w:ascii="Times New Roman" w:hAnsi="Times New Roman" w:eastAsia="宋体" w:cs="Times New Roman"/>
          <w:bCs/>
          <w:i w:val="0"/>
          <w:iCs w:val="0"/>
          <w:caps w:val="0"/>
          <w:color w:val="auto"/>
          <w:spacing w:val="0"/>
          <w:sz w:val="21"/>
          <w:szCs w:val="21"/>
          <w:highlight w:val="none"/>
          <w:shd w:val="clear" w:color="auto" w:fill="auto"/>
          <w:lang w:eastAsia="zh-CN"/>
        </w:rPr>
        <w:t>或</w:t>
      </w:r>
      <w:r>
        <w:rPr>
          <w:rFonts w:hint="eastAsia" w:ascii="Times New Roman" w:hAnsi="Times New Roman" w:eastAsia="宋体" w:cs="Times New Roman"/>
          <w:bCs/>
          <w:i w:val="0"/>
          <w:iCs w:val="0"/>
          <w:caps w:val="0"/>
          <w:color w:val="auto"/>
          <w:spacing w:val="0"/>
          <w:sz w:val="21"/>
          <w:szCs w:val="21"/>
          <w:highlight w:val="none"/>
          <w:shd w:val="clear" w:color="auto" w:fill="auto"/>
        </w:rPr>
        <w:t>辅助</w:t>
      </w:r>
      <w:r>
        <w:rPr>
          <w:rFonts w:hint="eastAsia" w:ascii="Times New Roman" w:hAnsi="Times New Roman" w:eastAsia="宋体" w:cs="Times New Roman"/>
          <w:bCs/>
          <w:i w:val="0"/>
          <w:iCs w:val="0"/>
          <w:caps w:val="0"/>
          <w:color w:val="auto"/>
          <w:spacing w:val="0"/>
          <w:sz w:val="21"/>
          <w:szCs w:val="21"/>
          <w:highlight w:val="none"/>
          <w:shd w:val="clear" w:color="auto" w:fill="auto"/>
          <w:lang w:eastAsia="zh-CN"/>
        </w:rPr>
        <w:t>性</w:t>
      </w:r>
      <w:r>
        <w:rPr>
          <w:rFonts w:hint="eastAsia" w:ascii="Times New Roman" w:hAnsi="Times New Roman" w:eastAsia="宋体" w:cs="Times New Roman"/>
          <w:bCs/>
          <w:i w:val="0"/>
          <w:iCs w:val="0"/>
          <w:caps w:val="0"/>
          <w:color w:val="auto"/>
          <w:spacing w:val="0"/>
          <w:sz w:val="21"/>
          <w:szCs w:val="21"/>
          <w:highlight w:val="none"/>
          <w:shd w:val="clear" w:color="auto" w:fill="auto"/>
        </w:rPr>
        <w:t>生产</w:t>
      </w:r>
      <w:r>
        <w:rPr>
          <w:rFonts w:hint="eastAsia" w:ascii="Times New Roman" w:hAnsi="Times New Roman" w:eastAsia="宋体" w:cs="Times New Roman"/>
          <w:bCs/>
          <w:i w:val="0"/>
          <w:iCs w:val="0"/>
          <w:caps w:val="0"/>
          <w:color w:val="auto"/>
          <w:spacing w:val="0"/>
          <w:sz w:val="21"/>
          <w:szCs w:val="21"/>
          <w:highlight w:val="none"/>
          <w:shd w:val="clear" w:color="auto" w:fill="auto"/>
          <w:lang w:eastAsia="zh-CN"/>
        </w:rPr>
        <w:t>的</w:t>
      </w:r>
      <w:r>
        <w:rPr>
          <w:rFonts w:hint="eastAsia" w:ascii="Times New Roman" w:hAnsi="Times New Roman"/>
          <w:bCs/>
          <w:color w:val="auto"/>
          <w:szCs w:val="21"/>
          <w:highlight w:val="none"/>
          <w:lang w:eastAsia="zh-CN"/>
        </w:rPr>
        <w:t>建筑面积</w:t>
      </w:r>
      <w:r>
        <w:rPr>
          <w:rFonts w:hint="default" w:ascii="Times New Roman" w:hAnsi="Times New Roman"/>
          <w:bCs/>
          <w:color w:val="auto"/>
          <w:szCs w:val="21"/>
          <w:highlight w:val="none"/>
        </w:rPr>
        <w:t>。</w:t>
      </w:r>
    </w:p>
    <w:p w14:paraId="76301E78">
      <w:pPr>
        <w:snapToGrid w:val="0"/>
        <w:spacing w:line="400" w:lineRule="exact"/>
        <w:ind w:firstLine="420" w:firstLineChars="200"/>
        <w:rPr>
          <w:rFonts w:hint="default" w:ascii="Times New Roman" w:hAnsi="Times New Roman" w:eastAsia="黑体" w:cs="Times New Roman"/>
          <w:bCs/>
          <w:color w:val="auto"/>
          <w:szCs w:val="21"/>
          <w:highlight w:val="none"/>
        </w:rPr>
      </w:pPr>
      <w:r>
        <w:rPr>
          <w:rFonts w:hint="default" w:ascii="Times New Roman" w:hAnsi="Times New Roman" w:eastAsia="黑体" w:cs="Times New Roman"/>
          <w:bCs/>
          <w:color w:val="auto"/>
          <w:sz w:val="21"/>
          <w:szCs w:val="21"/>
          <w:highlight w:val="none"/>
          <w:lang w:eastAsia="zh-CN"/>
        </w:rPr>
        <w:t>用于研发的建筑面积</w:t>
      </w:r>
      <w:r>
        <w:rPr>
          <w:rFonts w:hint="default" w:ascii="Times New Roman" w:hAnsi="Times New Roman"/>
          <w:bCs/>
          <w:color w:val="auto"/>
          <w:szCs w:val="21"/>
          <w:highlight w:val="none"/>
        </w:rPr>
        <w:t>指企业</w:t>
      </w:r>
      <w:r>
        <w:rPr>
          <w:rFonts w:hint="eastAsia" w:ascii="Times New Roman" w:hAnsi="Times New Roman"/>
          <w:bCs/>
          <w:color w:val="auto"/>
          <w:szCs w:val="21"/>
          <w:highlight w:val="none"/>
          <w:lang w:eastAsia="zh-CN"/>
        </w:rPr>
        <w:t>用于研究开发</w:t>
      </w:r>
      <w:r>
        <w:rPr>
          <w:rFonts w:hint="eastAsia" w:ascii="Times New Roman" w:hAnsi="Times New Roman" w:eastAsia="宋体" w:cs="Times New Roman"/>
          <w:bCs/>
          <w:i w:val="0"/>
          <w:iCs w:val="0"/>
          <w:caps w:val="0"/>
          <w:color w:val="auto"/>
          <w:spacing w:val="0"/>
          <w:sz w:val="21"/>
          <w:szCs w:val="21"/>
          <w:highlight w:val="none"/>
          <w:shd w:val="clear" w:color="auto" w:fill="auto"/>
          <w:lang w:eastAsia="zh-CN"/>
        </w:rPr>
        <w:t>的</w:t>
      </w:r>
      <w:r>
        <w:rPr>
          <w:rFonts w:hint="eastAsia" w:ascii="Times New Roman" w:hAnsi="Times New Roman"/>
          <w:bCs/>
          <w:color w:val="auto"/>
          <w:szCs w:val="21"/>
          <w:highlight w:val="none"/>
          <w:lang w:eastAsia="zh-CN"/>
        </w:rPr>
        <w:t>建筑面积</w:t>
      </w:r>
      <w:r>
        <w:rPr>
          <w:rFonts w:hint="default" w:ascii="Times New Roman" w:hAnsi="Times New Roman"/>
          <w:bCs/>
          <w:color w:val="auto"/>
          <w:szCs w:val="21"/>
          <w:highlight w:val="none"/>
        </w:rPr>
        <w:t>。</w:t>
      </w:r>
    </w:p>
    <w:p w14:paraId="48AC1D72">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企业集团情况</w:t>
      </w:r>
      <w:r>
        <w:rPr>
          <w:rFonts w:hint="eastAsia" w:ascii="Times New Roman" w:hAnsi="Times New Roman"/>
          <w:bCs/>
          <w:color w:val="auto"/>
          <w:szCs w:val="21"/>
          <w:highlight w:val="none"/>
        </w:rPr>
        <w:t>限企业集团母公司及成员企业填写。企业集团是指以资本为主要联结纽带的母子公司为主体，以集团章程为共同行为规范的母公司、子公司、参股公司及其他成员企业或机构共同组成的具有一定规模的企业法人联合体。企业集团不具有企业法人资格。母公司应当是依法登记注册，取得企业法人资格的控股企业；子公司应当是母公司对其拥有全部股权或者控制权的企业法人；企业集团的其他成员应当是母公司对其参股或者与母、子公司形成生产经营、协作联系的其他企业法人、事业单位法人或者社会团体法人。</w:t>
      </w:r>
    </w:p>
    <w:p w14:paraId="50072876">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科技企业孵化器</w:t>
      </w:r>
      <w:r>
        <w:rPr>
          <w:rFonts w:ascii="Times New Roman" w:hAnsi="Times New Roman"/>
          <w:bCs/>
          <w:color w:val="auto"/>
          <w:highlight w:val="none"/>
        </w:rPr>
        <w:t>指以科技型创业企业为服务对象，以促进科技成果转化、培养高新技术企业和企业家为宗旨的科技创业服务载体。</w:t>
      </w:r>
    </w:p>
    <w:p w14:paraId="68D980BF">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在孵企业</w:t>
      </w:r>
      <w:r>
        <w:rPr>
          <w:rFonts w:ascii="Times New Roman" w:hAnsi="Times New Roman"/>
          <w:bCs/>
          <w:color w:val="auto"/>
          <w:szCs w:val="21"/>
          <w:highlight w:val="none"/>
        </w:rPr>
        <w:t>指目前仍在孵化器内入驻，得到孵化器提供的服务的初创型企业。</w:t>
      </w:r>
    </w:p>
    <w:p w14:paraId="5C1C01D2">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毕业企业</w:t>
      </w:r>
      <w:r>
        <w:rPr>
          <w:rFonts w:ascii="Times New Roman" w:hAnsi="Times New Roman"/>
          <w:bCs/>
          <w:color w:val="auto"/>
          <w:szCs w:val="21"/>
          <w:highlight w:val="none"/>
        </w:rPr>
        <w:t>指曾在孵化器入驻并得到孵化器服务，符合所在孵化器毕业企业条件，现已迁出孵化器的企业。</w:t>
      </w:r>
    </w:p>
    <w:p w14:paraId="06B2322B">
      <w:pPr>
        <w:snapToGrid w:val="0"/>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与孵化器无关</w:t>
      </w:r>
      <w:r>
        <w:rPr>
          <w:rFonts w:ascii="Times New Roman" w:hAnsi="Times New Roman"/>
          <w:bCs/>
          <w:color w:val="auto"/>
          <w:szCs w:val="21"/>
          <w:highlight w:val="none"/>
        </w:rPr>
        <w:t>指企业从未入驻过孵化器。</w:t>
      </w:r>
    </w:p>
    <w:p w14:paraId="062104A2">
      <w:pPr>
        <w:snapToGrid w:val="0"/>
        <w:spacing w:line="400" w:lineRule="exact"/>
        <w:ind w:firstLine="420" w:firstLineChars="200"/>
        <w:rPr>
          <w:rFonts w:ascii="Times New Roman" w:hAnsi="Times New Roman"/>
          <w:bCs/>
          <w:color w:val="auto"/>
          <w:highlight w:val="none"/>
        </w:rPr>
      </w:pPr>
      <w:r>
        <w:rPr>
          <w:rFonts w:ascii="Times New Roman" w:hAnsi="Times New Roman" w:eastAsia="黑体"/>
          <w:bCs/>
          <w:color w:val="auto"/>
          <w:szCs w:val="21"/>
          <w:highlight w:val="none"/>
        </w:rPr>
        <w:t>境外上市情况</w:t>
      </w:r>
      <w:r>
        <w:rPr>
          <w:rFonts w:ascii="Times New Roman" w:hAnsi="Times New Roman"/>
          <w:bCs/>
          <w:color w:val="auto"/>
          <w:highlight w:val="none"/>
        </w:rPr>
        <w:t>仅限非在中国大陆上市的企业填报其上市地点、时间及统计年度年末市值等情况。</w:t>
      </w:r>
    </w:p>
    <w:p w14:paraId="5CD1A372">
      <w:pPr>
        <w:snapToGrid w:val="0"/>
        <w:spacing w:line="400" w:lineRule="exact"/>
        <w:ind w:firstLine="420" w:firstLineChars="200"/>
        <w:rPr>
          <w:rFonts w:ascii="Times New Roman" w:hAnsi="Times New Roman"/>
          <w:bCs/>
          <w:color w:val="auto"/>
          <w:highlight w:val="none"/>
        </w:rPr>
      </w:pPr>
      <w:r>
        <w:rPr>
          <w:rFonts w:ascii="Times New Roman" w:hAnsi="Times New Roman" w:eastAsia="黑体"/>
          <w:bCs/>
          <w:color w:val="auto"/>
          <w:szCs w:val="21"/>
          <w:highlight w:val="none"/>
        </w:rPr>
        <w:t>企业所属技术领域</w:t>
      </w:r>
      <w:r>
        <w:rPr>
          <w:rFonts w:ascii="Times New Roman" w:hAnsi="Times New Roman"/>
          <w:bCs/>
          <w:color w:val="auto"/>
          <w:szCs w:val="21"/>
          <w:highlight w:val="none"/>
        </w:rPr>
        <w:t>此项指标是为了了解企业所属领域情况，技术领域共分11大类54小类，请根据企业实际情况，以企业主营产品中最主要的产品为主，按技术领域的小类代码填报。</w:t>
      </w:r>
    </w:p>
    <w:p w14:paraId="43A7877F">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企业核心技术所属国家重点支持的高新技术领域</w:t>
      </w:r>
      <w:r>
        <w:rPr>
          <w:rFonts w:ascii="Times New Roman" w:hAnsi="Times New Roman"/>
          <w:bCs/>
          <w:color w:val="auto"/>
          <w:szCs w:val="21"/>
          <w:highlight w:val="none"/>
        </w:rPr>
        <w:t>指对企业主要产品（服务）发挥核心支持作用的技术所属《国家重点支持的高新技术领域》范围（参见附录）。按照《高新技术企业认定管理办法》（国科发火〔2016〕32号）中规定的8个重点领域中选择3级技术领域所对应的6位代码填报。高新技术企业根据高新技术企业认定时确定的领域填报，非高新技术企业根据企业核心技术情况选择对应项填报。无核心技术企业填报000000。</w:t>
      </w:r>
    </w:p>
    <w:p w14:paraId="79813141">
      <w:pPr>
        <w:spacing w:line="400" w:lineRule="exact"/>
        <w:ind w:firstLine="420" w:firstLineChars="200"/>
        <w:rPr>
          <w:rFonts w:hint="default" w:ascii="Times New Roman" w:hAnsi="Times New Roman"/>
          <w:b w:val="0"/>
          <w:bCs/>
          <w:color w:val="auto"/>
          <w:kern w:val="2"/>
          <w:sz w:val="21"/>
          <w:szCs w:val="21"/>
          <w:highlight w:val="none"/>
        </w:rPr>
      </w:pPr>
      <w:r>
        <w:rPr>
          <w:rFonts w:ascii="Times New Roman" w:hAnsi="Times New Roman" w:eastAsia="黑体"/>
          <w:b w:val="0"/>
          <w:color w:val="auto"/>
          <w:kern w:val="2"/>
          <w:sz w:val="21"/>
          <w:szCs w:val="21"/>
          <w:highlight w:val="none"/>
        </w:rPr>
        <w:t>企业所属</w:t>
      </w:r>
      <w:r>
        <w:rPr>
          <w:rFonts w:hint="eastAsia" w:ascii="Times New Roman" w:hAnsi="Times New Roman" w:eastAsia="黑体"/>
          <w:b w:val="0"/>
          <w:color w:val="auto"/>
          <w:kern w:val="2"/>
          <w:sz w:val="21"/>
          <w:szCs w:val="21"/>
          <w:highlight w:val="none"/>
        </w:rPr>
        <w:t>战略性新兴产业领域</w:t>
      </w:r>
      <w:r>
        <w:rPr>
          <w:rFonts w:hint="eastAsia" w:ascii="Times New Roman" w:hAnsi="Times New Roman" w:eastAsia="宋体" w:cs="Times New Roman"/>
          <w:b w:val="0"/>
          <w:color w:val="auto"/>
          <w:kern w:val="2"/>
          <w:sz w:val="21"/>
          <w:szCs w:val="21"/>
          <w:highlight w:val="none"/>
        </w:rPr>
        <w:t>指按国</w:t>
      </w:r>
      <w:r>
        <w:rPr>
          <w:rFonts w:hint="eastAsia" w:ascii="Times New Roman" w:hAnsi="Times New Roman"/>
          <w:b w:val="0"/>
          <w:color w:val="auto"/>
          <w:kern w:val="2"/>
          <w:sz w:val="21"/>
          <w:szCs w:val="21"/>
          <w:highlight w:val="none"/>
        </w:rPr>
        <w:t>家统</w:t>
      </w:r>
      <w:r>
        <w:rPr>
          <w:rFonts w:hint="default" w:ascii="Times New Roman" w:hAnsi="Times New Roman"/>
          <w:b w:val="0"/>
          <w:bCs/>
          <w:color w:val="auto"/>
          <w:kern w:val="2"/>
          <w:sz w:val="21"/>
          <w:szCs w:val="21"/>
          <w:highlight w:val="none"/>
        </w:rPr>
        <w:t>计局</w:t>
      </w:r>
      <w:r>
        <w:rPr>
          <w:rFonts w:ascii="Times New Roman" w:hAnsi="Times New Roman"/>
          <w:b w:val="0"/>
          <w:bCs/>
          <w:color w:val="auto"/>
          <w:kern w:val="2"/>
          <w:sz w:val="21"/>
          <w:szCs w:val="21"/>
          <w:highlight w:val="none"/>
        </w:rPr>
        <w:t>2018</w:t>
      </w:r>
      <w:r>
        <w:rPr>
          <w:rFonts w:hint="default" w:ascii="Times New Roman" w:hAnsi="Times New Roman"/>
          <w:b w:val="0"/>
          <w:bCs/>
          <w:color w:val="auto"/>
          <w:kern w:val="2"/>
          <w:sz w:val="21"/>
          <w:szCs w:val="21"/>
          <w:highlight w:val="none"/>
        </w:rPr>
        <w:t>年公布的《战略性新兴产业分类（</w:t>
      </w:r>
      <w:r>
        <w:rPr>
          <w:rFonts w:ascii="Times New Roman" w:hAnsi="Times New Roman"/>
          <w:b w:val="0"/>
          <w:bCs/>
          <w:color w:val="auto"/>
          <w:kern w:val="2"/>
          <w:sz w:val="21"/>
          <w:szCs w:val="21"/>
          <w:highlight w:val="none"/>
        </w:rPr>
        <w:t>2018</w:t>
      </w:r>
      <w:r>
        <w:rPr>
          <w:rFonts w:hint="default" w:ascii="Times New Roman" w:hAnsi="Times New Roman"/>
          <w:b w:val="0"/>
          <w:bCs/>
          <w:color w:val="auto"/>
          <w:kern w:val="2"/>
          <w:sz w:val="21"/>
          <w:szCs w:val="21"/>
          <w:highlight w:val="none"/>
        </w:rPr>
        <w:t>）》</w:t>
      </w:r>
      <w:r>
        <w:rPr>
          <w:rFonts w:hint="eastAsia" w:ascii="Times New Roman" w:hAnsi="Times New Roman"/>
          <w:b w:val="0"/>
          <w:bCs/>
          <w:color w:val="auto"/>
          <w:kern w:val="2"/>
          <w:sz w:val="21"/>
          <w:szCs w:val="21"/>
          <w:highlight w:val="none"/>
          <w:lang w:eastAsia="zh-CN"/>
        </w:rPr>
        <w:t>和</w:t>
      </w:r>
      <w:r>
        <w:rPr>
          <w:rFonts w:hint="default" w:ascii="Times New Roman" w:hAnsi="Times New Roman"/>
          <w:b w:val="0"/>
          <w:bCs/>
          <w:color w:val="auto"/>
          <w:kern w:val="2"/>
          <w:sz w:val="21"/>
          <w:szCs w:val="21"/>
          <w:highlight w:val="none"/>
        </w:rPr>
        <w:t>国务院第五次全国经济普査领导小组办公室</w:t>
      </w:r>
      <w:r>
        <w:rPr>
          <w:rFonts w:hint="eastAsia" w:ascii="Times New Roman" w:hAnsi="Times New Roman"/>
          <w:b w:val="0"/>
          <w:bCs/>
          <w:color w:val="auto"/>
          <w:kern w:val="2"/>
          <w:sz w:val="21"/>
          <w:szCs w:val="21"/>
          <w:highlight w:val="none"/>
          <w:lang w:val="en-US" w:eastAsia="zh-CN"/>
        </w:rPr>
        <w:t>2023年</w:t>
      </w:r>
      <w:r>
        <w:rPr>
          <w:rFonts w:hint="eastAsia" w:ascii="Times New Roman" w:hAnsi="Times New Roman"/>
          <w:b w:val="0"/>
          <w:bCs/>
          <w:color w:val="auto"/>
          <w:kern w:val="2"/>
          <w:sz w:val="21"/>
          <w:szCs w:val="21"/>
          <w:highlight w:val="none"/>
          <w:lang w:eastAsia="zh-CN"/>
        </w:rPr>
        <w:t>公布的《工业战略性新兴产业分类目录（2023）》</w:t>
      </w:r>
      <w:r>
        <w:rPr>
          <w:rFonts w:hint="default" w:ascii="Times New Roman" w:hAnsi="Times New Roman"/>
          <w:b w:val="0"/>
          <w:bCs/>
          <w:color w:val="auto"/>
          <w:kern w:val="2"/>
          <w:sz w:val="21"/>
          <w:szCs w:val="21"/>
          <w:highlight w:val="none"/>
        </w:rPr>
        <w:t>填写。</w:t>
      </w:r>
    </w:p>
    <w:p w14:paraId="33B0DE76">
      <w:pPr>
        <w:spacing w:line="400" w:lineRule="exact"/>
        <w:ind w:firstLine="420" w:firstLineChars="200"/>
        <w:rPr>
          <w:rFonts w:hint="default" w:ascii="Times New Roman" w:hAnsi="Times New Roman"/>
          <w:b w:val="0"/>
          <w:bCs/>
          <w:color w:val="auto"/>
          <w:kern w:val="2"/>
          <w:sz w:val="21"/>
          <w:szCs w:val="21"/>
          <w:highlight w:val="none"/>
        </w:rPr>
      </w:pPr>
      <w:r>
        <w:rPr>
          <w:rFonts w:hint="default" w:ascii="Times New Roman" w:hAnsi="Times New Roman" w:eastAsia="黑体"/>
          <w:color w:val="auto"/>
          <w:szCs w:val="21"/>
          <w:highlight w:val="none"/>
        </w:rPr>
        <w:t>业务系统是否向云端迁移</w:t>
      </w:r>
      <w:r>
        <w:rPr>
          <w:rFonts w:hint="default" w:ascii="Times New Roman" w:hAnsi="Times New Roman"/>
          <w:bCs/>
          <w:color w:val="auto"/>
          <w:szCs w:val="21"/>
          <w:highlight w:val="none"/>
        </w:rPr>
        <w:t>指企业</w:t>
      </w:r>
      <w:r>
        <w:rPr>
          <w:rFonts w:hint="default" w:ascii="Times New Roman" w:hAnsi="Times New Roman"/>
          <w:b w:val="0"/>
          <w:bCs/>
          <w:color w:val="auto"/>
          <w:kern w:val="2"/>
          <w:sz w:val="21"/>
          <w:szCs w:val="21"/>
          <w:highlight w:val="none"/>
        </w:rPr>
        <w:t>是否</w:t>
      </w:r>
      <w:r>
        <w:rPr>
          <w:rFonts w:hint="default" w:ascii="Times New Roman" w:hAnsi="Times New Roman"/>
          <w:bCs/>
          <w:color w:val="auto"/>
          <w:szCs w:val="21"/>
          <w:highlight w:val="none"/>
        </w:rPr>
        <w:t>将原本存储在本地服务器上的业务系统，迁移至云端服务器上进行管理和运行的过程</w:t>
      </w:r>
      <w:r>
        <w:rPr>
          <w:rFonts w:hint="default" w:ascii="Times New Roman" w:hAnsi="Times New Roman"/>
          <w:b w:val="0"/>
          <w:bCs/>
          <w:color w:val="auto"/>
          <w:kern w:val="2"/>
          <w:sz w:val="21"/>
          <w:szCs w:val="21"/>
          <w:highlight w:val="none"/>
        </w:rPr>
        <w:t>。</w:t>
      </w:r>
    </w:p>
    <w:p w14:paraId="6D6F649C">
      <w:pPr>
        <w:spacing w:line="400" w:lineRule="exact"/>
        <w:ind w:firstLine="420"/>
        <w:rPr>
          <w:rFonts w:hint="default" w:ascii="Times New Roman" w:hAnsi="Times New Roman" w:eastAsia="黑体"/>
          <w:bCs/>
          <w:color w:val="auto"/>
          <w:szCs w:val="21"/>
          <w:highlight w:val="none"/>
        </w:rPr>
      </w:pPr>
      <w:r>
        <w:rPr>
          <w:rFonts w:hint="default" w:ascii="Times New Roman" w:hAnsi="Times New Roman" w:eastAsia="黑体"/>
          <w:bCs w:val="0"/>
          <w:color w:val="auto"/>
          <w:szCs w:val="21"/>
          <w:highlight w:val="none"/>
        </w:rPr>
        <w:t>实体经济和数字经济融合相关试点、典型案例</w:t>
      </w:r>
      <w:r>
        <w:rPr>
          <w:rFonts w:hint="default" w:ascii="Times New Roman" w:hAnsi="Times New Roman" w:eastAsia="宋体"/>
          <w:bCs/>
          <w:color w:val="auto"/>
          <w:szCs w:val="21"/>
          <w:highlight w:val="none"/>
        </w:rPr>
        <w:t>指经工业和信息化部认定的“数字领航”企业、跨行业跨领域工业互联网平台和制造业数字化转型相关典型案例。</w:t>
      </w:r>
    </w:p>
    <w:p w14:paraId="15E79749">
      <w:pPr>
        <w:spacing w:line="400" w:lineRule="exact"/>
        <w:ind w:firstLine="420"/>
        <w:rPr>
          <w:rFonts w:hint="eastAsia" w:ascii="Times New Roman" w:hAnsi="Times New Roman"/>
          <w:bCs/>
          <w:color w:val="auto"/>
          <w:szCs w:val="21"/>
          <w:highlight w:val="none"/>
        </w:rPr>
      </w:pPr>
      <w:r>
        <w:rPr>
          <w:rFonts w:hint="default" w:ascii="Times New Roman" w:hAnsi="Times New Roman" w:eastAsia="黑体"/>
          <w:bCs w:val="0"/>
          <w:color w:val="auto"/>
          <w:szCs w:val="21"/>
          <w:highlight w:val="none"/>
        </w:rPr>
        <w:t>数字化转型</w:t>
      </w:r>
      <w:r>
        <w:rPr>
          <w:rFonts w:hint="eastAsia" w:ascii="Times New Roman" w:hAnsi="Times New Roman"/>
          <w:bCs/>
          <w:color w:val="auto"/>
          <w:szCs w:val="21"/>
          <w:highlight w:val="none"/>
          <w:lang w:eastAsia="zh-CN"/>
        </w:rPr>
        <w:t>指</w:t>
      </w:r>
      <w:r>
        <w:rPr>
          <w:rFonts w:hint="eastAsia" w:ascii="Times New Roman" w:hAnsi="Times New Roman"/>
          <w:bCs/>
          <w:color w:val="auto"/>
          <w:szCs w:val="21"/>
          <w:highlight w:val="none"/>
        </w:rPr>
        <w:t>企业运用数字技术，对业务流程、组织架构、商业模式等进行全方位的重塑和优化，以实现提高效率、创新服务、提升竞争力和创造价值的目标</w:t>
      </w:r>
      <w:r>
        <w:rPr>
          <w:rFonts w:hint="default" w:ascii="Times New Roman" w:hAnsi="Times New Roman" w:eastAsia="宋体"/>
          <w:bCs/>
          <w:color w:val="auto"/>
          <w:szCs w:val="21"/>
          <w:highlight w:val="none"/>
          <w:lang w:eastAsia="zh-CN"/>
        </w:rPr>
        <w:t>，</w:t>
      </w:r>
      <w:r>
        <w:rPr>
          <w:rFonts w:hint="default" w:ascii="Times New Roman" w:hAnsi="Times New Roman" w:eastAsia="宋体" w:cs="Times New Roman"/>
          <w:bCs/>
          <w:color w:val="auto"/>
          <w:szCs w:val="21"/>
          <w:highlight w:val="none"/>
          <w:lang w:val="en-US" w:eastAsia="zh-CN"/>
        </w:rPr>
        <w:t>完成两化融合、制造业数字化转型等国家标准贯标</w:t>
      </w:r>
      <w:r>
        <w:rPr>
          <w:rFonts w:hint="eastAsia" w:ascii="Times New Roman" w:hAnsi="Times New Roman"/>
          <w:bCs/>
          <w:color w:val="auto"/>
          <w:szCs w:val="21"/>
          <w:highlight w:val="none"/>
        </w:rPr>
        <w:t>。</w:t>
      </w:r>
    </w:p>
    <w:p w14:paraId="49B261EE">
      <w:pPr>
        <w:spacing w:line="400" w:lineRule="exact"/>
        <w:ind w:firstLine="420" w:firstLineChars="200"/>
        <w:rPr>
          <w:rFonts w:hint="eastAsia" w:ascii="Times New Roman" w:hAnsi="Times New Roman"/>
          <w:bCs/>
          <w:color w:val="auto"/>
          <w:szCs w:val="21"/>
          <w:highlight w:val="none"/>
        </w:rPr>
      </w:pPr>
      <w:r>
        <w:rPr>
          <w:rFonts w:hint="default" w:ascii="Times New Roman" w:hAnsi="Times New Roman" w:eastAsia="黑体"/>
          <w:bCs w:val="0"/>
          <w:color w:val="auto"/>
          <w:szCs w:val="21"/>
          <w:highlight w:val="none"/>
        </w:rPr>
        <w:t>工业机器人数量</w:t>
      </w:r>
      <w:r>
        <w:rPr>
          <w:rFonts w:hint="eastAsia" w:ascii="Times New Roman" w:hAnsi="Times New Roman"/>
          <w:bCs/>
          <w:color w:val="auto"/>
          <w:szCs w:val="21"/>
          <w:highlight w:val="none"/>
          <w:lang w:eastAsia="zh-CN"/>
        </w:rPr>
        <w:t>指</w:t>
      </w:r>
      <w:r>
        <w:rPr>
          <w:rFonts w:hint="eastAsia" w:ascii="Times New Roman" w:hAnsi="Times New Roman"/>
          <w:bCs/>
          <w:color w:val="auto"/>
          <w:szCs w:val="21"/>
          <w:highlight w:val="none"/>
        </w:rPr>
        <w:t>工业机器人的保有量，即安装并使用的工业机器人总数。工业机器人是指在工业自动化的使用中，可对三个或三个以上轴进行编程的固定式或移动式，自动控制的、可重复编程、多用途的操作机。</w:t>
      </w:r>
    </w:p>
    <w:p w14:paraId="7F57BB15">
      <w:pPr>
        <w:spacing w:line="400" w:lineRule="exact"/>
        <w:ind w:firstLine="420"/>
        <w:rPr>
          <w:rFonts w:hint="eastAsia" w:ascii="Times New Roman" w:hAnsi="Times New Roman"/>
          <w:bCs/>
          <w:color w:val="auto"/>
          <w:szCs w:val="21"/>
          <w:highlight w:val="none"/>
        </w:rPr>
      </w:pPr>
      <w:r>
        <w:rPr>
          <w:rFonts w:hint="default" w:ascii="Times New Roman" w:hAnsi="Times New Roman" w:eastAsia="黑体"/>
          <w:bCs w:val="0"/>
          <w:color w:val="auto"/>
          <w:szCs w:val="21"/>
          <w:highlight w:val="none"/>
          <w:lang w:eastAsia="zh-CN"/>
        </w:rPr>
        <w:t>研发准备金</w:t>
      </w:r>
      <w:r>
        <w:rPr>
          <w:rFonts w:hint="eastAsia" w:ascii="Times New Roman" w:hAnsi="Times New Roman"/>
          <w:bCs/>
          <w:color w:val="auto"/>
          <w:szCs w:val="21"/>
          <w:highlight w:val="none"/>
          <w:lang w:eastAsia="zh-CN"/>
        </w:rPr>
        <w:t>指</w:t>
      </w:r>
      <w:r>
        <w:rPr>
          <w:rFonts w:hint="eastAsia" w:ascii="Times New Roman" w:hAnsi="Times New Roman"/>
          <w:bCs/>
          <w:color w:val="auto"/>
          <w:szCs w:val="21"/>
          <w:highlight w:val="none"/>
        </w:rPr>
        <w:t>企业为保障研发项目的资金需要，在开展研发活动前或研发过程中提前储备的专门用于研发项目、单独核算的资金。</w:t>
      </w:r>
    </w:p>
    <w:p w14:paraId="7F80293C">
      <w:pPr>
        <w:spacing w:line="400" w:lineRule="exact"/>
        <w:ind w:firstLine="420"/>
        <w:rPr>
          <w:rFonts w:hint="default" w:ascii="Times New Roman" w:hAnsi="Times New Roman" w:eastAsia="宋体"/>
          <w:bCs/>
          <w:color w:val="auto"/>
          <w:szCs w:val="21"/>
          <w:highlight w:val="none"/>
          <w:lang w:eastAsia="zh-CN"/>
        </w:rPr>
      </w:pPr>
      <w:r>
        <w:rPr>
          <w:rFonts w:hint="default" w:ascii="Times New Roman" w:hAnsi="Times New Roman" w:eastAsia="黑体"/>
          <w:bCs w:val="0"/>
          <w:color w:val="auto"/>
          <w:szCs w:val="21"/>
          <w:highlight w:val="none"/>
          <w:lang w:eastAsia="zh-CN"/>
        </w:rPr>
        <w:t>企业通过</w:t>
      </w:r>
      <w:r>
        <w:rPr>
          <w:rFonts w:hint="default" w:ascii="Times New Roman" w:hAnsi="Times New Roman" w:eastAsia="黑体"/>
          <w:bCs w:val="0"/>
          <w:color w:val="auto"/>
          <w:szCs w:val="21"/>
          <w:highlight w:val="none"/>
        </w:rPr>
        <w:t>质量</w:t>
      </w:r>
      <w:r>
        <w:rPr>
          <w:rFonts w:hint="default" w:ascii="Times New Roman" w:hAnsi="Times New Roman" w:eastAsia="黑体"/>
          <w:bCs w:val="0"/>
          <w:color w:val="auto"/>
          <w:szCs w:val="21"/>
          <w:highlight w:val="none"/>
          <w:lang w:eastAsia="zh-CN"/>
        </w:rPr>
        <w:t>管理</w:t>
      </w:r>
      <w:r>
        <w:rPr>
          <w:rFonts w:hint="default" w:ascii="Times New Roman" w:hAnsi="Times New Roman" w:eastAsia="黑体"/>
          <w:bCs w:val="0"/>
          <w:color w:val="auto"/>
          <w:szCs w:val="21"/>
          <w:highlight w:val="none"/>
        </w:rPr>
        <w:t>体系认</w:t>
      </w:r>
      <w:r>
        <w:rPr>
          <w:rFonts w:hint="eastAsia" w:ascii="Times New Roman" w:hAnsi="Times New Roman" w:eastAsia="黑体"/>
          <w:bCs/>
          <w:color w:val="auto"/>
          <w:szCs w:val="21"/>
          <w:highlight w:val="none"/>
          <w:lang w:eastAsia="zh-CN"/>
        </w:rPr>
        <w:t>证</w:t>
      </w:r>
      <w:r>
        <w:rPr>
          <w:rFonts w:hint="eastAsia" w:ascii="Times New Roman" w:hAnsi="Times New Roman"/>
          <w:bCs/>
          <w:color w:val="auto"/>
          <w:szCs w:val="21"/>
          <w:highlight w:val="none"/>
          <w:lang w:eastAsia="zh-CN"/>
        </w:rPr>
        <w:t>指</w:t>
      </w:r>
      <w:r>
        <w:rPr>
          <w:rFonts w:hint="eastAsia" w:ascii="Times New Roman" w:hAnsi="Times New Roman"/>
          <w:bCs/>
          <w:color w:val="auto"/>
          <w:szCs w:val="21"/>
          <w:highlight w:val="none"/>
        </w:rPr>
        <w:t>经取得质量管理体系认证资格的第三方认证机构，依据正式发布的质量管理体系标准对企业的质量管理体系实施评定，评定合格并由第三方机构颁发质量管理体系认证证书并给予注册公布，且证书于报告期年底</w:t>
      </w:r>
      <w:r>
        <w:rPr>
          <w:rFonts w:hint="eastAsia" w:ascii="Times New Roman" w:hAnsi="Times New Roman"/>
          <w:bCs/>
          <w:color w:val="auto"/>
          <w:szCs w:val="21"/>
          <w:highlight w:val="none"/>
          <w:lang w:eastAsia="zh-CN"/>
        </w:rPr>
        <w:t>尚</w:t>
      </w:r>
      <w:r>
        <w:rPr>
          <w:rFonts w:hint="eastAsia" w:ascii="Times New Roman" w:hAnsi="Times New Roman"/>
          <w:bCs/>
          <w:color w:val="auto"/>
          <w:szCs w:val="21"/>
          <w:highlight w:val="none"/>
        </w:rPr>
        <w:t>在有效期内的企业。</w:t>
      </w:r>
    </w:p>
    <w:p w14:paraId="01237156">
      <w:pPr>
        <w:pStyle w:val="4"/>
        <w:ind w:firstLine="420" w:firstLineChars="200"/>
        <w:jc w:val="center"/>
        <w:rPr>
          <w:rFonts w:ascii="Times New Roman" w:hAnsi="Times New Roman"/>
          <w:bCs w:val="0"/>
          <w:color w:val="auto"/>
          <w:sz w:val="28"/>
          <w:szCs w:val="28"/>
          <w:highlight w:val="none"/>
        </w:rPr>
      </w:pPr>
      <w:r>
        <w:rPr>
          <w:rFonts w:ascii="Times New Roman" w:hAnsi="Times New Roman"/>
          <w:b w:val="0"/>
          <w:color w:val="auto"/>
          <w:kern w:val="2"/>
          <w:sz w:val="21"/>
          <w:szCs w:val="21"/>
          <w:highlight w:val="none"/>
        </w:rPr>
        <w:br w:type="page"/>
      </w:r>
      <w:bookmarkStart w:id="29" w:name="_Toc121734441"/>
      <w:r>
        <w:rPr>
          <w:rFonts w:ascii="Times New Roman" w:hAnsi="Times New Roman"/>
          <w:bCs w:val="0"/>
          <w:color w:val="auto"/>
          <w:sz w:val="28"/>
          <w:szCs w:val="28"/>
          <w:highlight w:val="none"/>
        </w:rPr>
        <w:t>经济概况</w:t>
      </w:r>
      <w:bookmarkEnd w:id="29"/>
    </w:p>
    <w:tbl>
      <w:tblPr>
        <w:tblStyle w:val="34"/>
        <w:tblW w:w="0" w:type="auto"/>
        <w:jc w:val="center"/>
        <w:tblLayout w:type="fixed"/>
        <w:tblCellMar>
          <w:top w:w="0" w:type="dxa"/>
          <w:left w:w="108" w:type="dxa"/>
          <w:bottom w:w="0" w:type="dxa"/>
          <w:right w:w="108" w:type="dxa"/>
        </w:tblCellMar>
      </w:tblPr>
      <w:tblGrid>
        <w:gridCol w:w="3180"/>
        <w:gridCol w:w="2127"/>
        <w:gridCol w:w="1113"/>
        <w:gridCol w:w="309"/>
        <w:gridCol w:w="756"/>
        <w:gridCol w:w="522"/>
        <w:gridCol w:w="1533"/>
      </w:tblGrid>
      <w:tr w14:paraId="5B59C310">
        <w:tblPrEx>
          <w:tblCellMar>
            <w:top w:w="0" w:type="dxa"/>
            <w:left w:w="108" w:type="dxa"/>
            <w:bottom w:w="0" w:type="dxa"/>
            <w:right w:w="108" w:type="dxa"/>
          </w:tblCellMar>
        </w:tblPrEx>
        <w:trPr>
          <w:trHeight w:val="283" w:hRule="atLeast"/>
          <w:jc w:val="center"/>
        </w:trPr>
        <w:tc>
          <w:tcPr>
            <w:tcW w:w="6420" w:type="dxa"/>
            <w:gridSpan w:val="3"/>
            <w:noWrap w:val="0"/>
            <w:vAlign w:val="center"/>
          </w:tcPr>
          <w:p w14:paraId="753728B9">
            <w:pPr>
              <w:snapToGrid w:val="0"/>
              <w:spacing w:line="240" w:lineRule="exact"/>
              <w:rPr>
                <w:rFonts w:ascii="Times New Roman" w:hAnsi="Times New Roman"/>
                <w:bCs/>
                <w:color w:val="auto"/>
                <w:sz w:val="18"/>
                <w:szCs w:val="24"/>
                <w:highlight w:val="none"/>
              </w:rPr>
            </w:pPr>
          </w:p>
        </w:tc>
        <w:tc>
          <w:tcPr>
            <w:tcW w:w="1065" w:type="dxa"/>
            <w:gridSpan w:val="2"/>
            <w:noWrap w:val="0"/>
            <w:vAlign w:val="center"/>
          </w:tcPr>
          <w:p w14:paraId="107A3288">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表号：</w:t>
            </w:r>
          </w:p>
        </w:tc>
        <w:tc>
          <w:tcPr>
            <w:tcW w:w="2055" w:type="dxa"/>
            <w:gridSpan w:val="2"/>
            <w:noWrap w:val="0"/>
            <w:vAlign w:val="center"/>
          </w:tcPr>
          <w:p w14:paraId="0F5DD594">
            <w:pPr>
              <w:spacing w:line="240" w:lineRule="exact"/>
              <w:jc w:val="right"/>
              <w:rPr>
                <w:rFonts w:ascii="Times New Roman" w:hAnsi="Times New Roman"/>
                <w:bCs/>
                <w:color w:val="auto"/>
                <w:sz w:val="18"/>
                <w:szCs w:val="24"/>
                <w:highlight w:val="none"/>
              </w:rPr>
            </w:pPr>
            <w:r>
              <w:rPr>
                <w:rFonts w:ascii="Times New Roman" w:hAnsi="Times New Roman"/>
                <w:bCs/>
                <w:color w:val="auto"/>
                <w:sz w:val="18"/>
                <w:szCs w:val="18"/>
                <w:highlight w:val="none"/>
              </w:rPr>
              <w:t>ＧＱ－００２</w:t>
            </w:r>
            <w:r>
              <w:rPr>
                <w:rFonts w:ascii="Times New Roman" w:hAnsi="Times New Roman"/>
                <w:bCs/>
                <w:color w:val="auto"/>
                <w:sz w:val="18"/>
                <w:highlight w:val="none"/>
              </w:rPr>
              <w:t>表</w:t>
            </w:r>
          </w:p>
        </w:tc>
      </w:tr>
      <w:tr w14:paraId="6C501D9F">
        <w:tblPrEx>
          <w:tblCellMar>
            <w:top w:w="0" w:type="dxa"/>
            <w:left w:w="108" w:type="dxa"/>
            <w:bottom w:w="0" w:type="dxa"/>
            <w:right w:w="108" w:type="dxa"/>
          </w:tblCellMar>
        </w:tblPrEx>
        <w:trPr>
          <w:trHeight w:val="283" w:hRule="atLeast"/>
          <w:jc w:val="center"/>
        </w:trPr>
        <w:tc>
          <w:tcPr>
            <w:tcW w:w="6420" w:type="dxa"/>
            <w:gridSpan w:val="3"/>
            <w:noWrap w:val="0"/>
            <w:vAlign w:val="center"/>
          </w:tcPr>
          <w:p w14:paraId="47EB5AB6">
            <w:pPr>
              <w:snapToGrid w:val="0"/>
              <w:spacing w:line="240" w:lineRule="exact"/>
              <w:rPr>
                <w:rFonts w:ascii="Times New Roman" w:hAnsi="Times New Roman"/>
                <w:bCs/>
                <w:color w:val="auto"/>
                <w:sz w:val="18"/>
                <w:szCs w:val="24"/>
                <w:highlight w:val="none"/>
              </w:rPr>
            </w:pPr>
          </w:p>
        </w:tc>
        <w:tc>
          <w:tcPr>
            <w:tcW w:w="1065" w:type="dxa"/>
            <w:gridSpan w:val="2"/>
            <w:noWrap w:val="0"/>
            <w:vAlign w:val="center"/>
          </w:tcPr>
          <w:p w14:paraId="66436D40">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制定机关：</w:t>
            </w:r>
          </w:p>
        </w:tc>
        <w:tc>
          <w:tcPr>
            <w:tcW w:w="2055" w:type="dxa"/>
            <w:gridSpan w:val="2"/>
            <w:noWrap w:val="0"/>
            <w:vAlign w:val="center"/>
          </w:tcPr>
          <w:p w14:paraId="0B7129F7">
            <w:pPr>
              <w:spacing w:line="240" w:lineRule="exact"/>
              <w:jc w:val="right"/>
              <w:rPr>
                <w:rFonts w:ascii="Times New Roman" w:hAnsi="Times New Roman"/>
                <w:bCs/>
                <w:color w:val="auto"/>
                <w:sz w:val="18"/>
                <w:szCs w:val="24"/>
                <w:highlight w:val="none"/>
              </w:rPr>
            </w:pPr>
            <w:r>
              <w:rPr>
                <w:rFonts w:hint="eastAsia" w:ascii="Times New Roman" w:hAnsi="Times New Roman"/>
                <w:bCs/>
                <w:color w:val="auto"/>
                <w:sz w:val="18"/>
                <w:highlight w:val="none"/>
                <w:lang w:val="en-US" w:eastAsia="zh-CN"/>
              </w:rPr>
              <w:t>工业和信息化</w:t>
            </w:r>
            <w:r>
              <w:rPr>
                <w:rFonts w:ascii="Times New Roman" w:hAnsi="Times New Roman"/>
                <w:bCs/>
                <w:color w:val="auto"/>
                <w:sz w:val="18"/>
                <w:highlight w:val="none"/>
              </w:rPr>
              <w:t>部</w:t>
            </w:r>
          </w:p>
        </w:tc>
      </w:tr>
      <w:tr w14:paraId="20E4EE02">
        <w:tblPrEx>
          <w:tblCellMar>
            <w:top w:w="0" w:type="dxa"/>
            <w:left w:w="108" w:type="dxa"/>
            <w:bottom w:w="0" w:type="dxa"/>
            <w:right w:w="108" w:type="dxa"/>
          </w:tblCellMar>
        </w:tblPrEx>
        <w:trPr>
          <w:trHeight w:val="283" w:hRule="atLeast"/>
          <w:jc w:val="center"/>
        </w:trPr>
        <w:tc>
          <w:tcPr>
            <w:tcW w:w="6420" w:type="dxa"/>
            <w:gridSpan w:val="3"/>
            <w:noWrap w:val="0"/>
            <w:vAlign w:val="center"/>
          </w:tcPr>
          <w:p w14:paraId="33BFFEC5">
            <w:pPr>
              <w:snapToGrid w:val="0"/>
              <w:spacing w:line="240" w:lineRule="exact"/>
              <w:rPr>
                <w:rFonts w:ascii="宋体" w:hAnsi="宋体"/>
                <w:bCs/>
                <w:color w:val="auto"/>
                <w:sz w:val="18"/>
                <w:szCs w:val="24"/>
                <w:highlight w:val="none"/>
              </w:rPr>
            </w:pPr>
          </w:p>
        </w:tc>
        <w:tc>
          <w:tcPr>
            <w:tcW w:w="1065" w:type="dxa"/>
            <w:gridSpan w:val="2"/>
            <w:noWrap w:val="0"/>
            <w:vAlign w:val="center"/>
          </w:tcPr>
          <w:p w14:paraId="2FB42252">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批准机关：</w:t>
            </w:r>
          </w:p>
        </w:tc>
        <w:tc>
          <w:tcPr>
            <w:tcW w:w="2055" w:type="dxa"/>
            <w:gridSpan w:val="2"/>
            <w:noWrap w:val="0"/>
            <w:vAlign w:val="center"/>
          </w:tcPr>
          <w:p w14:paraId="15D0DA5C">
            <w:pPr>
              <w:spacing w:line="240" w:lineRule="exact"/>
              <w:jc w:val="right"/>
              <w:rPr>
                <w:rFonts w:ascii="Times New Roman" w:hAnsi="Times New Roman"/>
                <w:bCs/>
                <w:color w:val="auto"/>
                <w:sz w:val="18"/>
                <w:szCs w:val="24"/>
                <w:highlight w:val="none"/>
              </w:rPr>
            </w:pPr>
            <w:r>
              <w:rPr>
                <w:rFonts w:ascii="Times New Roman" w:hAnsi="Times New Roman"/>
                <w:bCs/>
                <w:color w:val="auto"/>
                <w:sz w:val="18"/>
                <w:highlight w:val="none"/>
              </w:rPr>
              <w:t>国家统计局</w:t>
            </w:r>
          </w:p>
        </w:tc>
      </w:tr>
      <w:tr w14:paraId="6B5494CD">
        <w:tblPrEx>
          <w:tblCellMar>
            <w:top w:w="0" w:type="dxa"/>
            <w:left w:w="108" w:type="dxa"/>
            <w:bottom w:w="0" w:type="dxa"/>
            <w:right w:w="108" w:type="dxa"/>
          </w:tblCellMar>
        </w:tblPrEx>
        <w:trPr>
          <w:trHeight w:val="283" w:hRule="atLeast"/>
          <w:jc w:val="center"/>
        </w:trPr>
        <w:tc>
          <w:tcPr>
            <w:tcW w:w="6420" w:type="dxa"/>
            <w:gridSpan w:val="3"/>
            <w:noWrap w:val="0"/>
            <w:vAlign w:val="center"/>
          </w:tcPr>
          <w:p w14:paraId="26050599">
            <w:pPr>
              <w:snapToGrid w:val="0"/>
              <w:spacing w:line="240" w:lineRule="exact"/>
              <w:rPr>
                <w:rFonts w:ascii="宋体" w:hAnsi="宋体"/>
                <w:bCs/>
                <w:color w:val="auto"/>
                <w:sz w:val="18"/>
                <w:szCs w:val="24"/>
                <w:highlight w:val="none"/>
              </w:rPr>
            </w:pPr>
            <w:r>
              <w:rPr>
                <w:rFonts w:ascii="宋体" w:hAnsi="宋体"/>
                <w:bCs/>
                <w:color w:val="auto"/>
                <w:sz w:val="18"/>
                <w:szCs w:val="24"/>
                <w:highlight w:val="none"/>
              </w:rPr>
              <w:t>统一社会信用代码</w:t>
            </w:r>
            <w:r>
              <w:rPr>
                <w:rFonts w:ascii="宋体" w:hAnsi="宋体"/>
                <w:bCs/>
                <w:color w:val="auto"/>
                <w:sz w:val="18"/>
                <w:szCs w:val="18"/>
                <w:highlight w:val="none"/>
              </w:rPr>
              <w:t>□□□□□□□□□□□□□□□□□□</w:t>
            </w:r>
          </w:p>
        </w:tc>
        <w:tc>
          <w:tcPr>
            <w:tcW w:w="1065" w:type="dxa"/>
            <w:gridSpan w:val="2"/>
            <w:noWrap w:val="0"/>
            <w:vAlign w:val="center"/>
          </w:tcPr>
          <w:p w14:paraId="15B4BE7C">
            <w:pPr>
              <w:pStyle w:val="139"/>
              <w:tabs>
                <w:tab w:val="left" w:pos="730"/>
              </w:tabs>
              <w:autoSpaceDE/>
              <w:autoSpaceDN/>
              <w:adjustRightInd/>
              <w:spacing w:before="14" w:line="240" w:lineRule="exact"/>
              <w:jc w:val="both"/>
              <w:rPr>
                <w:rFonts w:ascii="Times New Roman" w:hAnsi="Times New Roman"/>
                <w:bCs/>
                <w:color w:val="auto"/>
                <w:sz w:val="18"/>
                <w:szCs w:val="18"/>
                <w:highlight w:val="none"/>
              </w:rPr>
            </w:pPr>
            <w:r>
              <w:rPr>
                <w:rFonts w:ascii="Times New Roman" w:hAnsi="Times New Roman"/>
                <w:bCs/>
                <w:color w:val="auto"/>
                <w:sz w:val="18"/>
                <w:szCs w:val="18"/>
                <w:highlight w:val="none"/>
              </w:rPr>
              <w:t>批准文号：</w:t>
            </w:r>
          </w:p>
        </w:tc>
        <w:tc>
          <w:tcPr>
            <w:tcW w:w="2055" w:type="dxa"/>
            <w:gridSpan w:val="2"/>
            <w:noWrap w:val="0"/>
            <w:vAlign w:val="center"/>
          </w:tcPr>
          <w:p w14:paraId="11CA1A95">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国统制〔202</w:t>
            </w:r>
            <w:r>
              <w:rPr>
                <w:rFonts w:hint="eastAsia" w:ascii="Times New Roman" w:hAnsi="Times New Roman"/>
                <w:bCs/>
                <w:color w:val="auto"/>
                <w:sz w:val="18"/>
                <w:highlight w:val="none"/>
                <w:lang w:val="en-US" w:eastAsia="zh-CN"/>
              </w:rPr>
              <w:t>4</w:t>
            </w:r>
            <w:r>
              <w:rPr>
                <w:rFonts w:ascii="Times New Roman" w:hAnsi="Times New Roman"/>
                <w:bCs/>
                <w:color w:val="auto"/>
                <w:sz w:val="18"/>
                <w:highlight w:val="none"/>
              </w:rPr>
              <w:t>〕</w:t>
            </w:r>
            <w:r>
              <w:rPr>
                <w:rFonts w:hint="eastAsia" w:ascii="Times New Roman" w:hAnsi="Times New Roman"/>
                <w:bCs/>
                <w:color w:val="auto"/>
                <w:sz w:val="18"/>
                <w:highlight w:val="none"/>
                <w:lang w:val="en-US" w:eastAsia="zh-CN"/>
              </w:rPr>
              <w:t>187</w:t>
            </w:r>
            <w:r>
              <w:rPr>
                <w:rFonts w:ascii="Times New Roman" w:hAnsi="Times New Roman"/>
                <w:bCs/>
                <w:color w:val="auto"/>
                <w:sz w:val="18"/>
                <w:highlight w:val="none"/>
              </w:rPr>
              <w:t>号</w:t>
            </w:r>
          </w:p>
        </w:tc>
      </w:tr>
      <w:tr w14:paraId="49687A57">
        <w:tblPrEx>
          <w:tblCellMar>
            <w:top w:w="0" w:type="dxa"/>
            <w:left w:w="108" w:type="dxa"/>
            <w:bottom w:w="0" w:type="dxa"/>
            <w:right w:w="108" w:type="dxa"/>
          </w:tblCellMar>
        </w:tblPrEx>
        <w:trPr>
          <w:trHeight w:val="283" w:hRule="atLeast"/>
          <w:jc w:val="center"/>
        </w:trPr>
        <w:tc>
          <w:tcPr>
            <w:tcW w:w="3180" w:type="dxa"/>
            <w:noWrap w:val="0"/>
            <w:vAlign w:val="center"/>
          </w:tcPr>
          <w:p w14:paraId="76392C9B">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企业（单位）详细名称：</w:t>
            </w:r>
          </w:p>
        </w:tc>
        <w:tc>
          <w:tcPr>
            <w:tcW w:w="3240" w:type="dxa"/>
            <w:gridSpan w:val="2"/>
            <w:noWrap w:val="0"/>
            <w:vAlign w:val="center"/>
          </w:tcPr>
          <w:p w14:paraId="1A3FB46E">
            <w:pPr>
              <w:snapToGrid w:val="0"/>
              <w:spacing w:line="240" w:lineRule="exact"/>
              <w:jc w:val="center"/>
              <w:rPr>
                <w:rFonts w:ascii="Times New Roman" w:hAnsi="Times New Roman"/>
                <w:bCs/>
                <w:color w:val="auto"/>
                <w:sz w:val="18"/>
                <w:szCs w:val="18"/>
                <w:highlight w:val="none"/>
              </w:rPr>
            </w:pP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２０</w:t>
            </w:r>
            <w:r>
              <w:rPr>
                <w:rFonts w:hint="eastAsia"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rPr>
              <w:t>年</w:t>
            </w:r>
          </w:p>
        </w:tc>
        <w:tc>
          <w:tcPr>
            <w:tcW w:w="1065" w:type="dxa"/>
            <w:gridSpan w:val="2"/>
            <w:noWrap w:val="0"/>
            <w:vAlign w:val="center"/>
          </w:tcPr>
          <w:p w14:paraId="3B22D33A">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有效期至：</w:t>
            </w:r>
          </w:p>
        </w:tc>
        <w:tc>
          <w:tcPr>
            <w:tcW w:w="2055" w:type="dxa"/>
            <w:gridSpan w:val="2"/>
            <w:noWrap w:val="0"/>
            <w:vAlign w:val="center"/>
          </w:tcPr>
          <w:p w14:paraId="5623DD17">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szCs w:val="18"/>
                <w:highlight w:val="none"/>
                <w:lang w:val="en-US" w:eastAsia="zh-CN"/>
              </w:rPr>
              <w:t>2027</w:t>
            </w:r>
            <w:r>
              <w:rPr>
                <w:rFonts w:ascii="Times New Roman" w:hAnsi="Times New Roman"/>
                <w:bCs/>
                <w:color w:val="auto"/>
                <w:sz w:val="18"/>
                <w:highlight w:val="none"/>
              </w:rPr>
              <w:t>年</w:t>
            </w:r>
            <w:r>
              <w:rPr>
                <w:rFonts w:hint="eastAsia" w:ascii="Times New Roman" w:hAnsi="Times New Roman"/>
                <w:bCs/>
                <w:color w:val="auto"/>
                <w:sz w:val="18"/>
                <w:highlight w:val="none"/>
                <w:lang w:val="en-US" w:eastAsia="zh-CN"/>
              </w:rPr>
              <w:t>12</w:t>
            </w:r>
            <w:r>
              <w:rPr>
                <w:rFonts w:ascii="Times New Roman" w:hAnsi="Times New Roman"/>
                <w:bCs/>
                <w:color w:val="auto"/>
                <w:sz w:val="18"/>
                <w:highlight w:val="none"/>
              </w:rPr>
              <w:t>月</w:t>
            </w:r>
          </w:p>
        </w:tc>
      </w:tr>
      <w:tr w14:paraId="5A21E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8" w:space="0"/>
              <w:left w:val="nil"/>
              <w:bottom w:val="single" w:color="auto" w:sz="4" w:space="0"/>
            </w:tcBorders>
            <w:noWrap w:val="0"/>
            <w:vAlign w:val="center"/>
          </w:tcPr>
          <w:p w14:paraId="656E2DFC">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指标名称</w:t>
            </w:r>
          </w:p>
        </w:tc>
        <w:tc>
          <w:tcPr>
            <w:tcW w:w="1422" w:type="dxa"/>
            <w:gridSpan w:val="2"/>
            <w:tcBorders>
              <w:top w:val="single" w:color="auto" w:sz="8" w:space="0"/>
              <w:bottom w:val="single" w:color="auto" w:sz="4" w:space="0"/>
            </w:tcBorders>
            <w:noWrap w:val="0"/>
            <w:vAlign w:val="center"/>
          </w:tcPr>
          <w:p w14:paraId="6AB035CE">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计量单位</w:t>
            </w:r>
          </w:p>
        </w:tc>
        <w:tc>
          <w:tcPr>
            <w:tcW w:w="1278" w:type="dxa"/>
            <w:gridSpan w:val="2"/>
            <w:tcBorders>
              <w:top w:val="single" w:color="auto" w:sz="8" w:space="0"/>
              <w:bottom w:val="single" w:color="auto" w:sz="4" w:space="0"/>
              <w:right w:val="nil"/>
            </w:tcBorders>
            <w:noWrap w:val="0"/>
            <w:vAlign w:val="center"/>
          </w:tcPr>
          <w:p w14:paraId="5021DB2C">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代码</w:t>
            </w:r>
          </w:p>
        </w:tc>
        <w:tc>
          <w:tcPr>
            <w:tcW w:w="1533" w:type="dxa"/>
            <w:tcBorders>
              <w:top w:val="single" w:color="auto" w:sz="8" w:space="0"/>
              <w:bottom w:val="single" w:color="auto" w:sz="4" w:space="0"/>
              <w:right w:val="nil"/>
            </w:tcBorders>
            <w:noWrap w:val="0"/>
            <w:vAlign w:val="center"/>
          </w:tcPr>
          <w:p w14:paraId="3E7B1799">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数量</w:t>
            </w:r>
          </w:p>
        </w:tc>
      </w:tr>
      <w:tr w14:paraId="3AB59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left w:val="nil"/>
              <w:bottom w:val="single" w:color="auto" w:sz="4" w:space="0"/>
              <w:right w:val="single" w:color="auto" w:sz="2" w:space="0"/>
            </w:tcBorders>
            <w:noWrap w:val="0"/>
            <w:vAlign w:val="center"/>
          </w:tcPr>
          <w:p w14:paraId="7E9F4A7B">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甲</w:t>
            </w:r>
          </w:p>
        </w:tc>
        <w:tc>
          <w:tcPr>
            <w:tcW w:w="1422" w:type="dxa"/>
            <w:gridSpan w:val="2"/>
            <w:tcBorders>
              <w:left w:val="single" w:color="auto" w:sz="2" w:space="0"/>
              <w:bottom w:val="single" w:color="auto" w:sz="4" w:space="0"/>
            </w:tcBorders>
            <w:noWrap w:val="0"/>
            <w:vAlign w:val="center"/>
          </w:tcPr>
          <w:p w14:paraId="24F9DB03">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乙</w:t>
            </w:r>
          </w:p>
        </w:tc>
        <w:tc>
          <w:tcPr>
            <w:tcW w:w="1278" w:type="dxa"/>
            <w:gridSpan w:val="2"/>
            <w:tcBorders>
              <w:bottom w:val="single" w:color="auto" w:sz="4" w:space="0"/>
              <w:right w:val="nil"/>
            </w:tcBorders>
            <w:noWrap w:val="0"/>
            <w:vAlign w:val="center"/>
          </w:tcPr>
          <w:p w14:paraId="010C6F70">
            <w:pPr>
              <w:spacing w:line="280" w:lineRule="exact"/>
              <w:ind w:left="-1" w:leftChars="-25" w:right="-78" w:rightChars="-37" w:hanging="52" w:hangingChars="29"/>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丙</w:t>
            </w:r>
          </w:p>
        </w:tc>
        <w:tc>
          <w:tcPr>
            <w:tcW w:w="1533" w:type="dxa"/>
            <w:tcBorders>
              <w:bottom w:val="single" w:color="auto" w:sz="4" w:space="0"/>
              <w:right w:val="nil"/>
            </w:tcBorders>
            <w:noWrap w:val="0"/>
            <w:vAlign w:val="center"/>
          </w:tcPr>
          <w:p w14:paraId="0FEFF5FC">
            <w:pPr>
              <w:spacing w:line="280" w:lineRule="exact"/>
              <w:ind w:left="-1" w:leftChars="-25" w:right="-78" w:rightChars="-37" w:hanging="52" w:hangingChars="29"/>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1</w:t>
            </w:r>
          </w:p>
        </w:tc>
      </w:tr>
      <w:tr w14:paraId="337BD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left w:val="nil"/>
              <w:bottom w:val="single" w:color="auto" w:sz="4" w:space="0"/>
              <w:right w:val="single" w:color="auto" w:sz="2" w:space="0"/>
            </w:tcBorders>
            <w:noWrap w:val="0"/>
            <w:vAlign w:val="center"/>
          </w:tcPr>
          <w:p w14:paraId="5260C76A">
            <w:pPr>
              <w:spacing w:line="280" w:lineRule="exact"/>
              <w:rPr>
                <w:rFonts w:ascii="Calibri" w:hAnsi="Calibri" w:cs="Calibri"/>
                <w:bCs/>
                <w:color w:val="auto"/>
                <w:sz w:val="18"/>
                <w:szCs w:val="24"/>
                <w:highlight w:val="none"/>
              </w:rPr>
            </w:pPr>
            <w:r>
              <w:rPr>
                <w:rFonts w:ascii="Calibri" w:hAnsi="Calibri" w:cs="Calibri"/>
                <w:bCs/>
                <w:color w:val="auto"/>
                <w:sz w:val="18"/>
                <w:szCs w:val="24"/>
                <w:highlight w:val="none"/>
              </w:rPr>
              <w:t>工业总产值（当年价格）</w:t>
            </w:r>
          </w:p>
        </w:tc>
        <w:tc>
          <w:tcPr>
            <w:tcW w:w="1422" w:type="dxa"/>
            <w:gridSpan w:val="2"/>
            <w:tcBorders>
              <w:left w:val="single" w:color="auto" w:sz="2" w:space="0"/>
              <w:bottom w:val="single" w:color="auto" w:sz="4" w:space="0"/>
            </w:tcBorders>
            <w:noWrap w:val="0"/>
            <w:vAlign w:val="center"/>
          </w:tcPr>
          <w:p w14:paraId="73E176E4">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bottom w:val="single" w:color="auto" w:sz="4" w:space="0"/>
              <w:right w:val="nil"/>
            </w:tcBorders>
            <w:noWrap w:val="0"/>
            <w:vAlign w:val="center"/>
          </w:tcPr>
          <w:p w14:paraId="1A326560">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QC02</w:t>
            </w:r>
          </w:p>
        </w:tc>
        <w:tc>
          <w:tcPr>
            <w:tcW w:w="1533" w:type="dxa"/>
            <w:tcBorders>
              <w:bottom w:val="single" w:color="auto" w:sz="4" w:space="0"/>
              <w:right w:val="nil"/>
            </w:tcBorders>
            <w:noWrap w:val="0"/>
            <w:vAlign w:val="center"/>
          </w:tcPr>
          <w:p w14:paraId="145C720D">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67F67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5185903C">
            <w:pPr>
              <w:spacing w:line="280" w:lineRule="exact"/>
              <w:rPr>
                <w:rFonts w:ascii="Calibri" w:hAnsi="Calibri" w:cs="Calibri"/>
                <w:bCs/>
                <w:color w:val="auto"/>
                <w:sz w:val="18"/>
                <w:szCs w:val="24"/>
                <w:highlight w:val="none"/>
              </w:rPr>
            </w:pPr>
            <w:r>
              <w:rPr>
                <w:rFonts w:ascii="Calibri" w:hAnsi="Calibri" w:cs="Calibri"/>
                <w:bCs/>
                <w:color w:val="auto"/>
                <w:sz w:val="18"/>
                <w:szCs w:val="24"/>
                <w:highlight w:val="none"/>
              </w:rPr>
              <w:t>营业收入</w:t>
            </w:r>
            <w:r>
              <w:rPr>
                <w:rFonts w:hint="eastAsia" w:ascii="Times New Roman" w:hAnsi="Times New Roman" w:eastAsia="宋体" w:cs="Times New Roman"/>
                <w:bCs/>
                <w:color w:val="auto"/>
                <w:sz w:val="18"/>
                <w:szCs w:val="18"/>
                <w:highlight w:val="none"/>
              </w:rPr>
              <w:t>（QC05_0＝QC06+QC07+QC10+QC49）</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494F9D34">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136A783B">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QC05_0</w:t>
            </w:r>
          </w:p>
        </w:tc>
        <w:tc>
          <w:tcPr>
            <w:tcW w:w="1533" w:type="dxa"/>
            <w:tcBorders>
              <w:top w:val="single" w:color="auto" w:sz="4" w:space="0"/>
              <w:left w:val="single" w:color="auto" w:sz="4" w:space="0"/>
              <w:bottom w:val="single" w:color="auto" w:sz="4" w:space="0"/>
              <w:right w:val="nil"/>
            </w:tcBorders>
            <w:noWrap w:val="0"/>
            <w:vAlign w:val="top"/>
          </w:tcPr>
          <w:p w14:paraId="63A74740">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473FF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7C0DB14E">
            <w:pPr>
              <w:spacing w:line="280" w:lineRule="exact"/>
              <w:ind w:firstLine="360" w:firstLineChars="200"/>
              <w:rPr>
                <w:rFonts w:ascii="Calibri" w:hAnsi="Calibri" w:cs="Calibri"/>
                <w:bCs/>
                <w:color w:val="auto"/>
                <w:sz w:val="18"/>
                <w:szCs w:val="24"/>
                <w:highlight w:val="none"/>
              </w:rPr>
            </w:pPr>
            <w:r>
              <w:rPr>
                <w:rFonts w:ascii="Calibri" w:hAnsi="Calibri" w:cs="Calibri"/>
                <w:bCs/>
                <w:color w:val="auto"/>
                <w:sz w:val="18"/>
                <w:szCs w:val="24"/>
                <w:highlight w:val="none"/>
              </w:rPr>
              <w:t>其中：主营业务收入</w:t>
            </w:r>
            <w:r>
              <w:rPr>
                <w:rFonts w:hint="eastAsia" w:ascii="Times New Roman" w:hAnsi="Times New Roman" w:eastAsia="宋体" w:cs="Times New Roman"/>
                <w:bCs/>
                <w:color w:val="auto"/>
                <w:sz w:val="18"/>
                <w:szCs w:val="18"/>
                <w:highlight w:val="none"/>
              </w:rPr>
              <w:t>（QC55≤QC05_0）</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1FA88F29">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2910F3A3">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QC55</w:t>
            </w:r>
          </w:p>
        </w:tc>
        <w:tc>
          <w:tcPr>
            <w:tcW w:w="1533" w:type="dxa"/>
            <w:tcBorders>
              <w:top w:val="single" w:color="auto" w:sz="4" w:space="0"/>
              <w:left w:val="single" w:color="auto" w:sz="4" w:space="0"/>
              <w:bottom w:val="single" w:color="auto" w:sz="4" w:space="0"/>
              <w:right w:val="nil"/>
            </w:tcBorders>
            <w:noWrap w:val="0"/>
            <w:vAlign w:val="top"/>
          </w:tcPr>
          <w:p w14:paraId="4868BF99">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0AB9F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1AFE795D">
            <w:pPr>
              <w:spacing w:line="280" w:lineRule="exact"/>
              <w:ind w:right="-78" w:rightChars="-37" w:firstLine="360" w:firstLineChars="200"/>
              <w:jc w:val="both"/>
              <w:rPr>
                <w:rFonts w:ascii="Calibri" w:hAnsi="Calibri" w:cs="Calibri"/>
                <w:bCs/>
                <w:color w:val="auto"/>
                <w:spacing w:val="-8"/>
                <w:sz w:val="18"/>
                <w:szCs w:val="24"/>
                <w:highlight w:val="none"/>
              </w:rPr>
            </w:pPr>
            <w:r>
              <w:rPr>
                <w:rFonts w:ascii="Calibri" w:hAnsi="Calibri" w:cs="Calibri"/>
                <w:bCs/>
                <w:color w:val="auto"/>
                <w:sz w:val="18"/>
                <w:szCs w:val="24"/>
                <w:highlight w:val="none"/>
              </w:rPr>
              <w:t>其中：技术收入</w:t>
            </w:r>
            <w:r>
              <w:rPr>
                <w:rFonts w:hint="eastAsia" w:ascii="Times New Roman" w:hAnsi="Times New Roman" w:eastAsia="宋体" w:cs="Times New Roman"/>
                <w:bCs/>
                <w:color w:val="auto"/>
                <w:sz w:val="18"/>
                <w:szCs w:val="18"/>
                <w:highlight w:val="none"/>
              </w:rPr>
              <w:t>(QC06≥QC06_1+QC06_2+QC06_3+QC06_4）</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6D946202">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288AABB2">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QC06</w:t>
            </w:r>
          </w:p>
        </w:tc>
        <w:tc>
          <w:tcPr>
            <w:tcW w:w="1533" w:type="dxa"/>
            <w:tcBorders>
              <w:top w:val="single" w:color="auto" w:sz="4" w:space="0"/>
              <w:left w:val="single" w:color="auto" w:sz="4" w:space="0"/>
              <w:bottom w:val="single" w:color="auto" w:sz="4" w:space="0"/>
              <w:right w:val="nil"/>
            </w:tcBorders>
            <w:noWrap w:val="0"/>
            <w:vAlign w:val="top"/>
          </w:tcPr>
          <w:p w14:paraId="7DA7CDA6">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7D256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3D3BCB62">
            <w:pPr>
              <w:spacing w:line="280" w:lineRule="exact"/>
              <w:ind w:firstLine="900" w:firstLineChars="500"/>
              <w:rPr>
                <w:rFonts w:ascii="Calibri" w:hAnsi="Calibri" w:cs="Calibri"/>
                <w:bCs/>
                <w:color w:val="auto"/>
                <w:sz w:val="18"/>
                <w:szCs w:val="24"/>
                <w:highlight w:val="none"/>
              </w:rPr>
            </w:pPr>
            <w:r>
              <w:rPr>
                <w:rFonts w:ascii="Calibri" w:hAnsi="Calibri" w:cs="Calibri"/>
                <w:bCs/>
                <w:color w:val="auto"/>
                <w:sz w:val="18"/>
                <w:szCs w:val="24"/>
                <w:highlight w:val="none"/>
              </w:rPr>
              <w:t>其中：技术转让收入</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2644B66F">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03392E58">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QC06_1</w:t>
            </w:r>
          </w:p>
        </w:tc>
        <w:tc>
          <w:tcPr>
            <w:tcW w:w="1533" w:type="dxa"/>
            <w:tcBorders>
              <w:top w:val="single" w:color="auto" w:sz="4" w:space="0"/>
              <w:left w:val="single" w:color="auto" w:sz="4" w:space="0"/>
              <w:bottom w:val="single" w:color="auto" w:sz="4" w:space="0"/>
              <w:right w:val="nil"/>
            </w:tcBorders>
            <w:noWrap w:val="0"/>
            <w:vAlign w:val="top"/>
          </w:tcPr>
          <w:p w14:paraId="31AAA500">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6CD26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27E75A1C">
            <w:pPr>
              <w:spacing w:line="280" w:lineRule="exact"/>
              <w:ind w:firstLine="1440" w:firstLineChars="800"/>
              <w:rPr>
                <w:rFonts w:ascii="Calibri" w:hAnsi="Calibri" w:cs="Calibri"/>
                <w:bCs/>
                <w:color w:val="auto"/>
                <w:sz w:val="18"/>
                <w:szCs w:val="24"/>
                <w:highlight w:val="none"/>
              </w:rPr>
            </w:pPr>
            <w:r>
              <w:rPr>
                <w:rFonts w:ascii="Calibri" w:hAnsi="Calibri" w:cs="Calibri"/>
                <w:bCs/>
                <w:color w:val="auto"/>
                <w:sz w:val="18"/>
                <w:szCs w:val="24"/>
                <w:highlight w:val="none"/>
              </w:rPr>
              <w:t>技术承包收入</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04E62D44">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4A1A9AB8">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QC06_2</w:t>
            </w:r>
          </w:p>
        </w:tc>
        <w:tc>
          <w:tcPr>
            <w:tcW w:w="1533" w:type="dxa"/>
            <w:tcBorders>
              <w:top w:val="single" w:color="auto" w:sz="4" w:space="0"/>
              <w:left w:val="single" w:color="auto" w:sz="4" w:space="0"/>
              <w:bottom w:val="single" w:color="auto" w:sz="4" w:space="0"/>
              <w:right w:val="nil"/>
            </w:tcBorders>
            <w:noWrap w:val="0"/>
            <w:vAlign w:val="top"/>
          </w:tcPr>
          <w:p w14:paraId="2567A633">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207A7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24558664">
            <w:pPr>
              <w:spacing w:line="280" w:lineRule="exact"/>
              <w:ind w:firstLine="1440" w:firstLineChars="800"/>
              <w:rPr>
                <w:rFonts w:ascii="Calibri" w:hAnsi="Calibri" w:cs="Calibri"/>
                <w:bCs/>
                <w:color w:val="auto"/>
                <w:sz w:val="18"/>
                <w:szCs w:val="24"/>
                <w:highlight w:val="none"/>
              </w:rPr>
            </w:pPr>
            <w:r>
              <w:rPr>
                <w:rFonts w:ascii="Calibri" w:hAnsi="Calibri" w:cs="Calibri"/>
                <w:bCs/>
                <w:color w:val="auto"/>
                <w:sz w:val="18"/>
                <w:szCs w:val="24"/>
                <w:highlight w:val="none"/>
              </w:rPr>
              <w:t>技术咨询与服务收入</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2EE782CF">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134BE3E1">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QC06_3</w:t>
            </w:r>
          </w:p>
        </w:tc>
        <w:tc>
          <w:tcPr>
            <w:tcW w:w="1533" w:type="dxa"/>
            <w:tcBorders>
              <w:top w:val="single" w:color="auto" w:sz="4" w:space="0"/>
              <w:left w:val="single" w:color="auto" w:sz="4" w:space="0"/>
              <w:bottom w:val="single" w:color="auto" w:sz="4" w:space="0"/>
              <w:right w:val="nil"/>
            </w:tcBorders>
            <w:noWrap w:val="0"/>
            <w:vAlign w:val="top"/>
          </w:tcPr>
          <w:p w14:paraId="693CD4B4">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1A63F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21B013AC">
            <w:pPr>
              <w:spacing w:line="280" w:lineRule="exact"/>
              <w:ind w:firstLine="1440" w:firstLineChars="800"/>
              <w:rPr>
                <w:rFonts w:ascii="Calibri" w:hAnsi="Calibri" w:cs="Calibri"/>
                <w:bCs/>
                <w:color w:val="auto"/>
                <w:sz w:val="18"/>
                <w:szCs w:val="24"/>
                <w:highlight w:val="none"/>
              </w:rPr>
            </w:pPr>
            <w:r>
              <w:rPr>
                <w:rFonts w:ascii="Calibri" w:hAnsi="Calibri" w:cs="Calibri"/>
                <w:bCs/>
                <w:color w:val="auto"/>
                <w:sz w:val="18"/>
                <w:szCs w:val="24"/>
                <w:highlight w:val="none"/>
              </w:rPr>
              <w:t>接受委托研究开发收入</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2B62E569">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02B9F948">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QC06_4</w:t>
            </w:r>
          </w:p>
        </w:tc>
        <w:tc>
          <w:tcPr>
            <w:tcW w:w="1533" w:type="dxa"/>
            <w:tcBorders>
              <w:top w:val="single" w:color="auto" w:sz="4" w:space="0"/>
              <w:left w:val="single" w:color="auto" w:sz="4" w:space="0"/>
              <w:bottom w:val="single" w:color="auto" w:sz="4" w:space="0"/>
              <w:right w:val="nil"/>
            </w:tcBorders>
            <w:noWrap w:val="0"/>
            <w:vAlign w:val="top"/>
          </w:tcPr>
          <w:p w14:paraId="2C556FC2">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6C440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024EA135">
            <w:pPr>
              <w:spacing w:line="280" w:lineRule="exact"/>
              <w:ind w:firstLine="360" w:firstLineChars="200"/>
              <w:rPr>
                <w:rFonts w:ascii="Calibri" w:hAnsi="Calibri" w:cs="Calibri"/>
                <w:bCs/>
                <w:color w:val="auto"/>
                <w:sz w:val="18"/>
                <w:szCs w:val="24"/>
                <w:highlight w:val="none"/>
              </w:rPr>
            </w:pPr>
            <w:r>
              <w:rPr>
                <w:rFonts w:ascii="Calibri" w:hAnsi="Calibri" w:cs="Calibri"/>
                <w:bCs/>
                <w:color w:val="auto"/>
                <w:sz w:val="18"/>
                <w:szCs w:val="24"/>
                <w:highlight w:val="none"/>
              </w:rPr>
              <w:t>其中：产品销售收入</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2E24476E">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0C9D8E23">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QC07</w:t>
            </w:r>
          </w:p>
        </w:tc>
        <w:tc>
          <w:tcPr>
            <w:tcW w:w="1533" w:type="dxa"/>
            <w:tcBorders>
              <w:top w:val="single" w:color="auto" w:sz="4" w:space="0"/>
              <w:left w:val="single" w:color="auto" w:sz="4" w:space="0"/>
              <w:bottom w:val="single" w:color="auto" w:sz="4" w:space="0"/>
              <w:right w:val="nil"/>
            </w:tcBorders>
            <w:noWrap w:val="0"/>
            <w:vAlign w:val="top"/>
          </w:tcPr>
          <w:p w14:paraId="77CC6EDD">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12417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4B51FB0C">
            <w:pPr>
              <w:tabs>
                <w:tab w:val="right" w:pos="4771"/>
              </w:tabs>
              <w:spacing w:line="280" w:lineRule="exact"/>
              <w:ind w:firstLine="1260" w:firstLineChars="700"/>
              <w:rPr>
                <w:rFonts w:ascii="Calibri" w:hAnsi="Calibri" w:cs="Calibri"/>
                <w:bCs/>
                <w:color w:val="auto"/>
                <w:sz w:val="18"/>
                <w:szCs w:val="24"/>
                <w:highlight w:val="none"/>
              </w:rPr>
            </w:pPr>
            <w:r>
              <w:rPr>
                <w:rFonts w:ascii="Calibri" w:hAnsi="Calibri" w:cs="Calibri"/>
                <w:bCs/>
                <w:color w:val="auto"/>
                <w:sz w:val="18"/>
                <w:szCs w:val="24"/>
                <w:highlight w:val="none"/>
              </w:rPr>
              <w:t>其中：高新技术产品销售收入</w:t>
            </w:r>
            <w:r>
              <w:rPr>
                <w:rFonts w:hint="eastAsia" w:ascii="Times New Roman" w:hAnsi="Times New Roman" w:eastAsia="宋体" w:cs="Times New Roman"/>
                <w:bCs/>
                <w:color w:val="auto"/>
                <w:sz w:val="18"/>
                <w:szCs w:val="18"/>
                <w:highlight w:val="none"/>
              </w:rPr>
              <w:t>（QC09≤QC07）</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03A4428E">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19787AF8">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QC09</w:t>
            </w:r>
          </w:p>
        </w:tc>
        <w:tc>
          <w:tcPr>
            <w:tcW w:w="1533" w:type="dxa"/>
            <w:tcBorders>
              <w:top w:val="single" w:color="auto" w:sz="4" w:space="0"/>
              <w:left w:val="single" w:color="auto" w:sz="4" w:space="0"/>
              <w:bottom w:val="single" w:color="auto" w:sz="4" w:space="0"/>
              <w:right w:val="nil"/>
            </w:tcBorders>
            <w:noWrap w:val="0"/>
            <w:vAlign w:val="top"/>
          </w:tcPr>
          <w:p w14:paraId="0444FC3E">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19631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60BAFDB6">
            <w:pPr>
              <w:spacing w:line="280" w:lineRule="exact"/>
              <w:ind w:firstLine="360" w:firstLineChars="200"/>
              <w:rPr>
                <w:rFonts w:ascii="Calibri" w:hAnsi="Calibri" w:cs="Calibri"/>
                <w:bCs/>
                <w:color w:val="auto"/>
                <w:sz w:val="18"/>
                <w:szCs w:val="24"/>
                <w:highlight w:val="none"/>
              </w:rPr>
            </w:pPr>
            <w:r>
              <w:rPr>
                <w:rFonts w:ascii="Calibri" w:hAnsi="Calibri" w:cs="Calibri"/>
                <w:bCs/>
                <w:color w:val="auto"/>
                <w:sz w:val="18"/>
                <w:szCs w:val="24"/>
                <w:highlight w:val="none"/>
              </w:rPr>
              <w:t>其中：商品销售收入</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64CCC298">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4C8886B7">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QC10</w:t>
            </w:r>
          </w:p>
        </w:tc>
        <w:tc>
          <w:tcPr>
            <w:tcW w:w="1533" w:type="dxa"/>
            <w:tcBorders>
              <w:top w:val="single" w:color="auto" w:sz="4" w:space="0"/>
              <w:left w:val="single" w:color="auto" w:sz="4" w:space="0"/>
              <w:bottom w:val="single" w:color="auto" w:sz="4" w:space="0"/>
              <w:right w:val="nil"/>
            </w:tcBorders>
            <w:noWrap w:val="0"/>
            <w:vAlign w:val="top"/>
          </w:tcPr>
          <w:p w14:paraId="4DF6D76B">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1BDB8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31D6B202">
            <w:pPr>
              <w:spacing w:line="280" w:lineRule="exact"/>
              <w:ind w:firstLine="360" w:firstLineChars="200"/>
              <w:rPr>
                <w:rFonts w:ascii="Calibri" w:hAnsi="Calibri" w:cs="Calibri"/>
                <w:bCs/>
                <w:color w:val="auto"/>
                <w:sz w:val="18"/>
                <w:szCs w:val="24"/>
                <w:highlight w:val="none"/>
              </w:rPr>
            </w:pPr>
            <w:r>
              <w:rPr>
                <w:rFonts w:ascii="Calibri" w:hAnsi="Calibri" w:cs="Calibri"/>
                <w:bCs/>
                <w:color w:val="auto"/>
                <w:sz w:val="18"/>
                <w:szCs w:val="24"/>
                <w:highlight w:val="none"/>
              </w:rPr>
              <w:t>其中：其他营业收入</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62B7076D">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36F3E470">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QC49</w:t>
            </w:r>
          </w:p>
        </w:tc>
        <w:tc>
          <w:tcPr>
            <w:tcW w:w="1533" w:type="dxa"/>
            <w:tcBorders>
              <w:top w:val="single" w:color="auto" w:sz="4" w:space="0"/>
              <w:left w:val="single" w:color="auto" w:sz="4" w:space="0"/>
              <w:bottom w:val="single" w:color="auto" w:sz="4" w:space="0"/>
              <w:right w:val="nil"/>
            </w:tcBorders>
            <w:noWrap w:val="0"/>
            <w:vAlign w:val="top"/>
          </w:tcPr>
          <w:p w14:paraId="51509E36">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507C3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2EDFE503">
            <w:pPr>
              <w:spacing w:line="280" w:lineRule="exact"/>
              <w:rPr>
                <w:rFonts w:ascii="Calibri" w:hAnsi="Calibri" w:cs="Calibri"/>
                <w:bCs/>
                <w:color w:val="auto"/>
                <w:sz w:val="18"/>
                <w:szCs w:val="24"/>
                <w:highlight w:val="none"/>
              </w:rPr>
            </w:pPr>
            <w:r>
              <w:rPr>
                <w:rFonts w:ascii="Calibri" w:hAnsi="Calibri" w:cs="Calibri"/>
                <w:bCs/>
                <w:color w:val="auto"/>
                <w:sz w:val="18"/>
                <w:szCs w:val="24"/>
                <w:highlight w:val="none"/>
              </w:rPr>
              <w:t>进出口总额</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48FCD445">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6F707C0A">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QC52</w:t>
            </w:r>
          </w:p>
        </w:tc>
        <w:tc>
          <w:tcPr>
            <w:tcW w:w="1533" w:type="dxa"/>
            <w:tcBorders>
              <w:top w:val="single" w:color="auto" w:sz="4" w:space="0"/>
              <w:left w:val="single" w:color="auto" w:sz="4" w:space="0"/>
              <w:bottom w:val="single" w:color="auto" w:sz="4" w:space="0"/>
              <w:right w:val="nil"/>
            </w:tcBorders>
            <w:noWrap w:val="0"/>
            <w:vAlign w:val="top"/>
          </w:tcPr>
          <w:p w14:paraId="11626D77">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7C4BC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08CB61B6">
            <w:pPr>
              <w:spacing w:line="280" w:lineRule="exact"/>
              <w:ind w:firstLine="360" w:firstLineChars="200"/>
              <w:rPr>
                <w:rFonts w:ascii="Calibri" w:hAnsi="Calibri" w:cs="Calibri"/>
                <w:bCs/>
                <w:color w:val="auto"/>
                <w:sz w:val="18"/>
                <w:szCs w:val="24"/>
                <w:highlight w:val="none"/>
              </w:rPr>
            </w:pPr>
            <w:r>
              <w:rPr>
                <w:rFonts w:ascii="Calibri" w:hAnsi="Calibri" w:cs="Calibri"/>
                <w:bCs/>
                <w:color w:val="auto"/>
                <w:sz w:val="18"/>
                <w:szCs w:val="24"/>
                <w:highlight w:val="none"/>
              </w:rPr>
              <w:t>其中：出口总额</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11≤</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05_0，</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11≥</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38，</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11≥</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11_1）</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183B8ED0">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593CF61F">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QC11</w:t>
            </w:r>
          </w:p>
        </w:tc>
        <w:tc>
          <w:tcPr>
            <w:tcW w:w="1533" w:type="dxa"/>
            <w:tcBorders>
              <w:top w:val="single" w:color="auto" w:sz="4" w:space="0"/>
              <w:left w:val="single" w:color="auto" w:sz="4" w:space="0"/>
              <w:bottom w:val="single" w:color="auto" w:sz="4" w:space="0"/>
              <w:right w:val="nil"/>
            </w:tcBorders>
            <w:noWrap w:val="0"/>
            <w:vAlign w:val="top"/>
          </w:tcPr>
          <w:p w14:paraId="2EB6F938">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29A8B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347AED84">
            <w:pPr>
              <w:spacing w:line="280" w:lineRule="exact"/>
              <w:ind w:firstLine="900" w:firstLineChars="500"/>
              <w:rPr>
                <w:rFonts w:ascii="Calibri" w:hAnsi="Calibri" w:cs="Calibri"/>
                <w:bCs/>
                <w:color w:val="auto"/>
                <w:sz w:val="18"/>
                <w:szCs w:val="24"/>
                <w:highlight w:val="none"/>
              </w:rPr>
            </w:pPr>
            <w:r>
              <w:rPr>
                <w:rFonts w:ascii="Calibri" w:hAnsi="Calibri" w:cs="Calibri"/>
                <w:bCs/>
                <w:color w:val="auto"/>
                <w:sz w:val="18"/>
                <w:szCs w:val="24"/>
                <w:highlight w:val="none"/>
              </w:rPr>
              <w:t>其中：高新技术产品出口</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0B27B3D1">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0ED2A883">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QC38</w:t>
            </w:r>
          </w:p>
        </w:tc>
        <w:tc>
          <w:tcPr>
            <w:tcW w:w="1533" w:type="dxa"/>
            <w:tcBorders>
              <w:top w:val="single" w:color="auto" w:sz="4" w:space="0"/>
              <w:left w:val="single" w:color="auto" w:sz="4" w:space="0"/>
              <w:bottom w:val="single" w:color="auto" w:sz="4" w:space="0"/>
              <w:right w:val="nil"/>
            </w:tcBorders>
            <w:noWrap w:val="0"/>
            <w:vAlign w:val="top"/>
          </w:tcPr>
          <w:p w14:paraId="72323E87">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4E07A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right w:val="single" w:color="auto" w:sz="2" w:space="0"/>
            </w:tcBorders>
            <w:noWrap w:val="0"/>
            <w:vAlign w:val="center"/>
          </w:tcPr>
          <w:p w14:paraId="51EF9043">
            <w:pPr>
              <w:tabs>
                <w:tab w:val="center" w:pos="2863"/>
              </w:tabs>
              <w:spacing w:line="280" w:lineRule="exact"/>
              <w:ind w:firstLine="1440" w:firstLineChars="800"/>
              <w:rPr>
                <w:rFonts w:ascii="Calibri" w:hAnsi="Calibri" w:cs="Calibri"/>
                <w:bCs/>
                <w:color w:val="auto"/>
                <w:sz w:val="18"/>
                <w:szCs w:val="24"/>
                <w:highlight w:val="none"/>
              </w:rPr>
            </w:pPr>
            <w:r>
              <w:rPr>
                <w:rFonts w:ascii="Calibri" w:hAnsi="Calibri" w:cs="Calibri"/>
                <w:bCs/>
                <w:color w:val="auto"/>
                <w:kern w:val="0"/>
                <w:sz w:val="18"/>
                <w:szCs w:val="18"/>
                <w:highlight w:val="none"/>
              </w:rPr>
              <w:t>技术服务出口</w:t>
            </w:r>
          </w:p>
        </w:tc>
        <w:tc>
          <w:tcPr>
            <w:tcW w:w="1422" w:type="dxa"/>
            <w:gridSpan w:val="2"/>
            <w:tcBorders>
              <w:top w:val="single" w:color="auto" w:sz="4" w:space="0"/>
              <w:left w:val="single" w:color="auto" w:sz="2" w:space="0"/>
              <w:bottom w:val="single" w:color="auto" w:sz="4" w:space="0"/>
              <w:right w:val="single" w:color="auto" w:sz="2" w:space="0"/>
            </w:tcBorders>
            <w:noWrap w:val="0"/>
            <w:vAlign w:val="center"/>
          </w:tcPr>
          <w:p w14:paraId="7FBE7261">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2" w:space="0"/>
              <w:bottom w:val="single" w:color="auto" w:sz="4" w:space="0"/>
              <w:right w:val="single" w:color="auto" w:sz="4" w:space="0"/>
            </w:tcBorders>
            <w:noWrap w:val="0"/>
            <w:vAlign w:val="center"/>
          </w:tcPr>
          <w:p w14:paraId="4FFB7464">
            <w:pPr>
              <w:spacing w:line="280" w:lineRule="exact"/>
              <w:ind w:left="-1" w:leftChars="-25" w:right="-78" w:rightChars="-37" w:hanging="52" w:hangingChars="29"/>
              <w:jc w:val="center"/>
              <w:rPr>
                <w:rFonts w:cs="Calibri"/>
                <w:bCs/>
                <w:color w:val="auto"/>
                <w:sz w:val="18"/>
                <w:szCs w:val="24"/>
                <w:highlight w:val="none"/>
              </w:rPr>
            </w:pPr>
            <w:r>
              <w:rPr>
                <w:rFonts w:cs="Calibri"/>
                <w:bCs/>
                <w:color w:val="auto"/>
                <w:kern w:val="0"/>
                <w:sz w:val="18"/>
                <w:szCs w:val="18"/>
                <w:highlight w:val="none"/>
              </w:rPr>
              <w:t>QC11_1</w:t>
            </w:r>
          </w:p>
        </w:tc>
        <w:tc>
          <w:tcPr>
            <w:tcW w:w="1533" w:type="dxa"/>
            <w:tcBorders>
              <w:top w:val="single" w:color="auto" w:sz="4" w:space="0"/>
              <w:left w:val="single" w:color="auto" w:sz="4" w:space="0"/>
              <w:bottom w:val="single" w:color="auto" w:sz="4" w:space="0"/>
              <w:right w:val="nil"/>
            </w:tcBorders>
            <w:noWrap w:val="0"/>
            <w:vAlign w:val="top"/>
          </w:tcPr>
          <w:p w14:paraId="10C37BB4">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7F3F1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003A31A8">
            <w:pPr>
              <w:spacing w:line="280" w:lineRule="exact"/>
              <w:rPr>
                <w:rFonts w:ascii="Calibri" w:hAnsi="Calibri" w:cs="Calibri"/>
                <w:bCs/>
                <w:color w:val="auto"/>
                <w:sz w:val="18"/>
                <w:szCs w:val="24"/>
                <w:highlight w:val="none"/>
              </w:rPr>
            </w:pPr>
            <w:r>
              <w:rPr>
                <w:rFonts w:ascii="Calibri" w:hAnsi="Calibri" w:cs="Calibri"/>
                <w:bCs/>
                <w:color w:val="auto"/>
                <w:sz w:val="18"/>
                <w:szCs w:val="24"/>
                <w:highlight w:val="none"/>
              </w:rPr>
              <w:t>营业成本</w:t>
            </w:r>
          </w:p>
        </w:tc>
        <w:tc>
          <w:tcPr>
            <w:tcW w:w="1422" w:type="dxa"/>
            <w:gridSpan w:val="2"/>
            <w:tcBorders>
              <w:top w:val="single" w:color="auto" w:sz="4" w:space="0"/>
              <w:bottom w:val="single" w:color="auto" w:sz="4" w:space="0"/>
            </w:tcBorders>
            <w:noWrap w:val="0"/>
            <w:vAlign w:val="center"/>
          </w:tcPr>
          <w:p w14:paraId="64598806">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301187B2">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QC220</w:t>
            </w:r>
          </w:p>
        </w:tc>
        <w:tc>
          <w:tcPr>
            <w:tcW w:w="1533" w:type="dxa"/>
            <w:tcBorders>
              <w:top w:val="single" w:color="auto" w:sz="4" w:space="0"/>
              <w:bottom w:val="single" w:color="auto" w:sz="4" w:space="0"/>
              <w:right w:val="nil"/>
            </w:tcBorders>
            <w:noWrap w:val="0"/>
            <w:vAlign w:val="top"/>
          </w:tcPr>
          <w:p w14:paraId="652EFB08">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46DD2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79D5C938">
            <w:pPr>
              <w:spacing w:line="280" w:lineRule="exact"/>
              <w:rPr>
                <w:rFonts w:ascii="Calibri" w:hAnsi="Calibri" w:cs="Calibri"/>
                <w:bCs/>
                <w:color w:val="auto"/>
                <w:sz w:val="18"/>
                <w:szCs w:val="24"/>
                <w:highlight w:val="none"/>
              </w:rPr>
            </w:pPr>
            <w:r>
              <w:rPr>
                <w:rFonts w:ascii="Calibri" w:hAnsi="Calibri" w:cs="Calibri"/>
                <w:bCs/>
                <w:color w:val="auto"/>
                <w:sz w:val="18"/>
                <w:szCs w:val="24"/>
                <w:highlight w:val="none"/>
              </w:rPr>
              <w:t>税金及附加</w:t>
            </w:r>
          </w:p>
        </w:tc>
        <w:tc>
          <w:tcPr>
            <w:tcW w:w="1422" w:type="dxa"/>
            <w:gridSpan w:val="2"/>
            <w:tcBorders>
              <w:top w:val="single" w:color="auto" w:sz="4" w:space="0"/>
              <w:bottom w:val="single" w:color="auto" w:sz="4" w:space="0"/>
            </w:tcBorders>
            <w:noWrap w:val="0"/>
            <w:vAlign w:val="center"/>
          </w:tcPr>
          <w:p w14:paraId="16267B1A">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542221D3">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QC221</w:t>
            </w:r>
          </w:p>
        </w:tc>
        <w:tc>
          <w:tcPr>
            <w:tcW w:w="1533" w:type="dxa"/>
            <w:tcBorders>
              <w:top w:val="single" w:color="auto" w:sz="4" w:space="0"/>
              <w:bottom w:val="single" w:color="auto" w:sz="4" w:space="0"/>
              <w:right w:val="nil"/>
            </w:tcBorders>
            <w:noWrap w:val="0"/>
            <w:vAlign w:val="top"/>
          </w:tcPr>
          <w:p w14:paraId="1DB85B38">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193E7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08573040">
            <w:pPr>
              <w:spacing w:line="280" w:lineRule="exact"/>
              <w:rPr>
                <w:rFonts w:ascii="Calibri" w:hAnsi="Calibri" w:cs="Calibri"/>
                <w:bCs/>
                <w:color w:val="auto"/>
                <w:sz w:val="18"/>
                <w:szCs w:val="24"/>
                <w:highlight w:val="none"/>
              </w:rPr>
            </w:pPr>
            <w:r>
              <w:rPr>
                <w:rFonts w:ascii="Calibri" w:hAnsi="Calibri" w:cs="Calibri"/>
                <w:bCs/>
                <w:color w:val="auto"/>
                <w:sz w:val="18"/>
                <w:szCs w:val="18"/>
                <w:highlight w:val="none"/>
              </w:rPr>
              <w:t>销售费用</w:t>
            </w:r>
          </w:p>
        </w:tc>
        <w:tc>
          <w:tcPr>
            <w:tcW w:w="1422" w:type="dxa"/>
            <w:gridSpan w:val="2"/>
            <w:tcBorders>
              <w:top w:val="single" w:color="auto" w:sz="4" w:space="0"/>
              <w:bottom w:val="single" w:color="auto" w:sz="4" w:space="0"/>
            </w:tcBorders>
            <w:noWrap w:val="0"/>
            <w:vAlign w:val="center"/>
          </w:tcPr>
          <w:p w14:paraId="531D98EC">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2FAF9DEC">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QC222</w:t>
            </w:r>
          </w:p>
        </w:tc>
        <w:tc>
          <w:tcPr>
            <w:tcW w:w="1533" w:type="dxa"/>
            <w:tcBorders>
              <w:top w:val="single" w:color="auto" w:sz="4" w:space="0"/>
              <w:bottom w:val="single" w:color="auto" w:sz="4" w:space="0"/>
              <w:right w:val="nil"/>
            </w:tcBorders>
            <w:noWrap w:val="0"/>
            <w:vAlign w:val="top"/>
          </w:tcPr>
          <w:p w14:paraId="4E41E2EF">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6932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567A7BBE">
            <w:pPr>
              <w:spacing w:line="280" w:lineRule="exact"/>
              <w:rPr>
                <w:rFonts w:ascii="Calibri" w:hAnsi="Calibri" w:cs="Calibri"/>
                <w:bCs/>
                <w:color w:val="auto"/>
                <w:sz w:val="18"/>
                <w:szCs w:val="24"/>
                <w:highlight w:val="none"/>
              </w:rPr>
            </w:pPr>
            <w:r>
              <w:rPr>
                <w:rFonts w:ascii="Calibri" w:hAnsi="Calibri" w:cs="Calibri"/>
                <w:bCs/>
                <w:color w:val="auto"/>
                <w:sz w:val="18"/>
                <w:szCs w:val="24"/>
                <w:highlight w:val="none"/>
              </w:rPr>
              <w:t>管理费用</w:t>
            </w:r>
          </w:p>
        </w:tc>
        <w:tc>
          <w:tcPr>
            <w:tcW w:w="1422" w:type="dxa"/>
            <w:gridSpan w:val="2"/>
            <w:tcBorders>
              <w:top w:val="single" w:color="auto" w:sz="4" w:space="0"/>
              <w:bottom w:val="single" w:color="auto" w:sz="4" w:space="0"/>
            </w:tcBorders>
            <w:noWrap w:val="0"/>
            <w:vAlign w:val="center"/>
          </w:tcPr>
          <w:p w14:paraId="147589DD">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4AE66597">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QC223</w:t>
            </w:r>
          </w:p>
        </w:tc>
        <w:tc>
          <w:tcPr>
            <w:tcW w:w="1533" w:type="dxa"/>
            <w:tcBorders>
              <w:top w:val="single" w:color="auto" w:sz="4" w:space="0"/>
              <w:bottom w:val="single" w:color="auto" w:sz="4" w:space="0"/>
              <w:right w:val="nil"/>
            </w:tcBorders>
            <w:noWrap w:val="0"/>
            <w:vAlign w:val="top"/>
          </w:tcPr>
          <w:p w14:paraId="070909F1">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5636E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2AAFFB0B">
            <w:pPr>
              <w:spacing w:line="280" w:lineRule="exact"/>
              <w:rPr>
                <w:rFonts w:ascii="Calibri" w:hAnsi="Calibri" w:cs="Calibri"/>
                <w:bCs/>
                <w:color w:val="auto"/>
                <w:sz w:val="18"/>
                <w:szCs w:val="24"/>
                <w:highlight w:val="none"/>
              </w:rPr>
            </w:pPr>
            <w:r>
              <w:rPr>
                <w:rFonts w:ascii="Calibri" w:hAnsi="Calibri" w:cs="Calibri"/>
                <w:bCs/>
                <w:color w:val="auto"/>
                <w:sz w:val="18"/>
                <w:szCs w:val="24"/>
                <w:highlight w:val="none"/>
              </w:rPr>
              <w:t>研发费用</w:t>
            </w:r>
          </w:p>
        </w:tc>
        <w:tc>
          <w:tcPr>
            <w:tcW w:w="1422" w:type="dxa"/>
            <w:gridSpan w:val="2"/>
            <w:tcBorders>
              <w:top w:val="single" w:color="auto" w:sz="4" w:space="0"/>
              <w:bottom w:val="single" w:color="auto" w:sz="4" w:space="0"/>
            </w:tcBorders>
            <w:noWrap w:val="0"/>
            <w:vAlign w:val="center"/>
          </w:tcPr>
          <w:p w14:paraId="41AB40A3">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5D425131">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QC236</w:t>
            </w:r>
          </w:p>
        </w:tc>
        <w:tc>
          <w:tcPr>
            <w:tcW w:w="1533" w:type="dxa"/>
            <w:tcBorders>
              <w:top w:val="single" w:color="auto" w:sz="4" w:space="0"/>
              <w:bottom w:val="single" w:color="auto" w:sz="4" w:space="0"/>
              <w:right w:val="nil"/>
            </w:tcBorders>
            <w:noWrap w:val="0"/>
            <w:vAlign w:val="top"/>
          </w:tcPr>
          <w:p w14:paraId="72006F35">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4B290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2F9D22C8">
            <w:pPr>
              <w:spacing w:line="280" w:lineRule="exact"/>
              <w:jc w:val="left"/>
              <w:rPr>
                <w:rFonts w:ascii="Calibri" w:hAnsi="Calibri" w:eastAsia="Arial Unicode MS" w:cs="Calibri"/>
                <w:bCs/>
                <w:color w:val="auto"/>
                <w:kern w:val="0"/>
                <w:sz w:val="18"/>
                <w:szCs w:val="18"/>
                <w:highlight w:val="none"/>
              </w:rPr>
            </w:pPr>
            <w:r>
              <w:rPr>
                <w:rFonts w:ascii="Calibri" w:hAnsi="Calibri" w:cs="Calibri"/>
                <w:bCs/>
                <w:color w:val="auto"/>
                <w:sz w:val="18"/>
                <w:szCs w:val="18"/>
                <w:highlight w:val="none"/>
              </w:rPr>
              <w:t>财务费用</w:t>
            </w:r>
          </w:p>
        </w:tc>
        <w:tc>
          <w:tcPr>
            <w:tcW w:w="1422" w:type="dxa"/>
            <w:gridSpan w:val="2"/>
            <w:tcBorders>
              <w:top w:val="single" w:color="auto" w:sz="4" w:space="0"/>
              <w:bottom w:val="single" w:color="auto" w:sz="4" w:space="0"/>
            </w:tcBorders>
            <w:noWrap w:val="0"/>
            <w:vAlign w:val="center"/>
          </w:tcPr>
          <w:p w14:paraId="66992925">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278ADFF9">
            <w:pPr>
              <w:spacing w:line="280" w:lineRule="exact"/>
              <w:jc w:val="center"/>
              <w:rPr>
                <w:rFonts w:cs="Calibri"/>
                <w:bCs/>
                <w:color w:val="auto"/>
                <w:sz w:val="18"/>
                <w:szCs w:val="24"/>
                <w:highlight w:val="none"/>
              </w:rPr>
            </w:pPr>
            <w:r>
              <w:rPr>
                <w:rFonts w:cs="Calibri"/>
                <w:bCs/>
                <w:color w:val="auto"/>
                <w:sz w:val="18"/>
                <w:szCs w:val="24"/>
                <w:highlight w:val="none"/>
              </w:rPr>
              <w:t>QC224</w:t>
            </w:r>
          </w:p>
        </w:tc>
        <w:tc>
          <w:tcPr>
            <w:tcW w:w="1533" w:type="dxa"/>
            <w:tcBorders>
              <w:top w:val="single" w:color="auto" w:sz="4" w:space="0"/>
              <w:bottom w:val="single" w:color="auto" w:sz="4" w:space="0"/>
              <w:right w:val="nil"/>
            </w:tcBorders>
            <w:noWrap w:val="0"/>
            <w:vAlign w:val="top"/>
          </w:tcPr>
          <w:p w14:paraId="401ECB9A">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36ED5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0AF37074">
            <w:pPr>
              <w:spacing w:line="280" w:lineRule="exact"/>
              <w:jc w:val="left"/>
              <w:rPr>
                <w:rFonts w:ascii="宋体" w:hAnsi="宋体" w:cs="Calibri"/>
                <w:bCs/>
                <w:color w:val="auto"/>
                <w:sz w:val="18"/>
                <w:szCs w:val="24"/>
                <w:highlight w:val="none"/>
              </w:rPr>
            </w:pPr>
            <w:r>
              <w:rPr>
                <w:rFonts w:ascii="宋体" w:hAnsi="宋体" w:cs="Calibri"/>
                <w:bCs/>
                <w:color w:val="auto"/>
                <w:sz w:val="18"/>
                <w:szCs w:val="24"/>
                <w:highlight w:val="none"/>
              </w:rPr>
              <w:t>资产减值损失（损失以“-”号记）</w:t>
            </w:r>
          </w:p>
        </w:tc>
        <w:tc>
          <w:tcPr>
            <w:tcW w:w="1422" w:type="dxa"/>
            <w:gridSpan w:val="2"/>
            <w:tcBorders>
              <w:top w:val="single" w:color="auto" w:sz="4" w:space="0"/>
              <w:bottom w:val="single" w:color="auto" w:sz="4" w:space="0"/>
            </w:tcBorders>
            <w:noWrap w:val="0"/>
            <w:vAlign w:val="center"/>
          </w:tcPr>
          <w:p w14:paraId="194F9C81">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4A8E4E8B">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QC228</w:t>
            </w:r>
          </w:p>
        </w:tc>
        <w:tc>
          <w:tcPr>
            <w:tcW w:w="1533" w:type="dxa"/>
            <w:tcBorders>
              <w:top w:val="single" w:color="auto" w:sz="4" w:space="0"/>
              <w:bottom w:val="single" w:color="auto" w:sz="4" w:space="0"/>
              <w:right w:val="nil"/>
            </w:tcBorders>
            <w:noWrap w:val="0"/>
            <w:vAlign w:val="top"/>
          </w:tcPr>
          <w:p w14:paraId="7D004F95">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4DB0F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6EE26C36">
            <w:pPr>
              <w:snapToGrid w:val="0"/>
              <w:spacing w:line="280" w:lineRule="exact"/>
              <w:jc w:val="left"/>
              <w:rPr>
                <w:rFonts w:ascii="宋体" w:hAnsi="宋体" w:cs="Calibri"/>
                <w:bCs/>
                <w:color w:val="auto"/>
                <w:sz w:val="18"/>
                <w:szCs w:val="18"/>
                <w:highlight w:val="none"/>
              </w:rPr>
            </w:pPr>
            <w:r>
              <w:rPr>
                <w:rFonts w:ascii="宋体" w:hAnsi="宋体" w:cs="Calibri"/>
                <w:bCs/>
                <w:color w:val="auto"/>
                <w:sz w:val="18"/>
                <w:szCs w:val="18"/>
                <w:highlight w:val="none"/>
              </w:rPr>
              <w:t>信用减值损失</w:t>
            </w:r>
            <w:r>
              <w:rPr>
                <w:rFonts w:ascii="宋体" w:hAnsi="宋体" w:cs="Calibri"/>
                <w:bCs/>
                <w:color w:val="auto"/>
                <w:sz w:val="18"/>
                <w:szCs w:val="24"/>
                <w:highlight w:val="none"/>
              </w:rPr>
              <w:t>（损失以“-”号记）</w:t>
            </w:r>
          </w:p>
        </w:tc>
        <w:tc>
          <w:tcPr>
            <w:tcW w:w="1422" w:type="dxa"/>
            <w:gridSpan w:val="2"/>
            <w:tcBorders>
              <w:top w:val="single" w:color="auto" w:sz="4" w:space="0"/>
              <w:bottom w:val="single" w:color="auto" w:sz="4" w:space="0"/>
            </w:tcBorders>
            <w:noWrap w:val="0"/>
            <w:vAlign w:val="center"/>
          </w:tcPr>
          <w:p w14:paraId="69F57A9D">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6ED9131B">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QC235</w:t>
            </w:r>
          </w:p>
        </w:tc>
        <w:tc>
          <w:tcPr>
            <w:tcW w:w="1533" w:type="dxa"/>
            <w:tcBorders>
              <w:top w:val="single" w:color="auto" w:sz="4" w:space="0"/>
              <w:bottom w:val="single" w:color="auto" w:sz="4" w:space="0"/>
              <w:right w:val="nil"/>
            </w:tcBorders>
            <w:noWrap w:val="0"/>
            <w:vAlign w:val="top"/>
          </w:tcPr>
          <w:p w14:paraId="225CE841">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6582D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46C7CD39">
            <w:pPr>
              <w:spacing w:line="280" w:lineRule="exact"/>
              <w:jc w:val="left"/>
              <w:rPr>
                <w:rFonts w:ascii="宋体" w:hAnsi="宋体" w:cs="Calibri"/>
                <w:bCs/>
                <w:color w:val="auto"/>
                <w:sz w:val="18"/>
                <w:szCs w:val="24"/>
                <w:highlight w:val="none"/>
              </w:rPr>
            </w:pPr>
            <w:r>
              <w:rPr>
                <w:rFonts w:ascii="宋体" w:hAnsi="宋体" w:cs="Calibri"/>
                <w:bCs/>
                <w:color w:val="auto"/>
                <w:sz w:val="18"/>
                <w:szCs w:val="24"/>
                <w:highlight w:val="none"/>
              </w:rPr>
              <w:t>公允价值变动收益（损失以“-”号记）</w:t>
            </w:r>
          </w:p>
        </w:tc>
        <w:tc>
          <w:tcPr>
            <w:tcW w:w="1422" w:type="dxa"/>
            <w:gridSpan w:val="2"/>
            <w:tcBorders>
              <w:top w:val="single" w:color="auto" w:sz="4" w:space="0"/>
              <w:bottom w:val="single" w:color="auto" w:sz="4" w:space="0"/>
            </w:tcBorders>
            <w:noWrap w:val="0"/>
            <w:vAlign w:val="center"/>
          </w:tcPr>
          <w:p w14:paraId="7AD98A31">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43AD9D13">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QC229</w:t>
            </w:r>
          </w:p>
        </w:tc>
        <w:tc>
          <w:tcPr>
            <w:tcW w:w="1533" w:type="dxa"/>
            <w:tcBorders>
              <w:top w:val="single" w:color="auto" w:sz="4" w:space="0"/>
              <w:bottom w:val="single" w:color="auto" w:sz="4" w:space="0"/>
              <w:right w:val="nil"/>
            </w:tcBorders>
            <w:noWrap w:val="0"/>
            <w:vAlign w:val="top"/>
          </w:tcPr>
          <w:p w14:paraId="76516984">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06C84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352F1C5A">
            <w:pPr>
              <w:spacing w:line="280" w:lineRule="exact"/>
              <w:jc w:val="left"/>
              <w:rPr>
                <w:rFonts w:ascii="宋体" w:hAnsi="宋体" w:cs="Calibri"/>
                <w:bCs/>
                <w:color w:val="auto"/>
                <w:sz w:val="18"/>
                <w:szCs w:val="24"/>
                <w:highlight w:val="none"/>
              </w:rPr>
            </w:pPr>
            <w:r>
              <w:rPr>
                <w:rFonts w:ascii="宋体" w:hAnsi="宋体" w:cs="Calibri"/>
                <w:bCs/>
                <w:color w:val="auto"/>
                <w:sz w:val="18"/>
                <w:szCs w:val="24"/>
                <w:highlight w:val="none"/>
              </w:rPr>
              <w:t>投资收益（损失以“-”号记）</w:t>
            </w:r>
          </w:p>
        </w:tc>
        <w:tc>
          <w:tcPr>
            <w:tcW w:w="1422" w:type="dxa"/>
            <w:gridSpan w:val="2"/>
            <w:tcBorders>
              <w:top w:val="single" w:color="auto" w:sz="4" w:space="0"/>
              <w:bottom w:val="single" w:color="auto" w:sz="4" w:space="0"/>
            </w:tcBorders>
            <w:noWrap w:val="0"/>
            <w:vAlign w:val="center"/>
          </w:tcPr>
          <w:p w14:paraId="2C3E1618">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72D72446">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QC225</w:t>
            </w:r>
          </w:p>
        </w:tc>
        <w:tc>
          <w:tcPr>
            <w:tcW w:w="1533" w:type="dxa"/>
            <w:tcBorders>
              <w:top w:val="single" w:color="auto" w:sz="4" w:space="0"/>
              <w:bottom w:val="single" w:color="auto" w:sz="4" w:space="0"/>
              <w:right w:val="nil"/>
            </w:tcBorders>
            <w:noWrap w:val="0"/>
            <w:vAlign w:val="top"/>
          </w:tcPr>
          <w:p w14:paraId="3C3A0EFA">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14146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4" w:space="0"/>
            </w:tcBorders>
            <w:noWrap w:val="0"/>
            <w:vAlign w:val="center"/>
          </w:tcPr>
          <w:p w14:paraId="67442C17">
            <w:pPr>
              <w:spacing w:line="280" w:lineRule="exact"/>
              <w:jc w:val="left"/>
              <w:rPr>
                <w:rFonts w:ascii="宋体" w:hAnsi="宋体" w:cs="Calibri"/>
                <w:bCs/>
                <w:color w:val="auto"/>
                <w:sz w:val="18"/>
                <w:szCs w:val="24"/>
                <w:highlight w:val="none"/>
              </w:rPr>
            </w:pPr>
            <w:r>
              <w:rPr>
                <w:rFonts w:ascii="宋体" w:hAnsi="宋体" w:cs="Calibri"/>
                <w:bCs/>
                <w:color w:val="auto"/>
                <w:sz w:val="18"/>
                <w:szCs w:val="24"/>
                <w:highlight w:val="none"/>
              </w:rPr>
              <w:t>净敞口套期收益（损失以“-”号记）</w:t>
            </w:r>
          </w:p>
        </w:tc>
        <w:tc>
          <w:tcPr>
            <w:tcW w:w="1422" w:type="dxa"/>
            <w:gridSpan w:val="2"/>
            <w:tcBorders>
              <w:top w:val="single" w:color="auto" w:sz="4" w:space="0"/>
              <w:bottom w:val="single" w:color="auto" w:sz="4" w:space="0"/>
            </w:tcBorders>
            <w:noWrap w:val="0"/>
            <w:vAlign w:val="center"/>
          </w:tcPr>
          <w:p w14:paraId="551B6857">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bottom w:val="single" w:color="auto" w:sz="4" w:space="0"/>
              <w:right w:val="nil"/>
            </w:tcBorders>
            <w:noWrap w:val="0"/>
            <w:vAlign w:val="center"/>
          </w:tcPr>
          <w:p w14:paraId="15B47FE5">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QC239</w:t>
            </w:r>
          </w:p>
        </w:tc>
        <w:tc>
          <w:tcPr>
            <w:tcW w:w="1533" w:type="dxa"/>
            <w:tcBorders>
              <w:top w:val="single" w:color="auto" w:sz="4" w:space="0"/>
              <w:bottom w:val="single" w:color="auto" w:sz="4" w:space="0"/>
              <w:right w:val="nil"/>
            </w:tcBorders>
            <w:noWrap w:val="0"/>
            <w:vAlign w:val="top"/>
          </w:tcPr>
          <w:p w14:paraId="032EA2A4">
            <w:pPr>
              <w:spacing w:line="280" w:lineRule="exact"/>
              <w:ind w:left="-1" w:leftChars="-25" w:right="-78" w:rightChars="-37" w:hanging="52" w:hangingChars="29"/>
              <w:jc w:val="center"/>
              <w:rPr>
                <w:rFonts w:ascii="Times New Roman" w:hAnsi="Times New Roman"/>
                <w:bCs/>
                <w:color w:val="auto"/>
                <w:sz w:val="18"/>
                <w:szCs w:val="24"/>
                <w:highlight w:val="none"/>
              </w:rPr>
            </w:pPr>
          </w:p>
        </w:tc>
      </w:tr>
      <w:tr w14:paraId="11A81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07" w:type="dxa"/>
            <w:gridSpan w:val="2"/>
            <w:tcBorders>
              <w:top w:val="single" w:color="auto" w:sz="4" w:space="0"/>
              <w:left w:val="nil"/>
              <w:bottom w:val="single" w:color="auto" w:sz="8" w:space="0"/>
              <w:right w:val="single" w:color="auto" w:sz="4" w:space="0"/>
            </w:tcBorders>
            <w:noWrap w:val="0"/>
            <w:vAlign w:val="center"/>
          </w:tcPr>
          <w:p w14:paraId="14E29753">
            <w:pPr>
              <w:snapToGrid w:val="0"/>
              <w:spacing w:line="280" w:lineRule="exact"/>
              <w:jc w:val="left"/>
              <w:rPr>
                <w:rFonts w:ascii="宋体" w:hAnsi="宋体" w:cs="Calibri"/>
                <w:bCs/>
                <w:color w:val="auto"/>
                <w:sz w:val="18"/>
                <w:szCs w:val="18"/>
                <w:highlight w:val="none"/>
              </w:rPr>
            </w:pPr>
            <w:r>
              <w:rPr>
                <w:rFonts w:ascii="宋体" w:hAnsi="宋体" w:cs="Calibri"/>
                <w:bCs/>
                <w:color w:val="auto"/>
                <w:sz w:val="18"/>
                <w:szCs w:val="18"/>
                <w:highlight w:val="none"/>
              </w:rPr>
              <w:t>资产处置收益(损失以“-”号记)</w:t>
            </w:r>
          </w:p>
        </w:tc>
        <w:tc>
          <w:tcPr>
            <w:tcW w:w="1422" w:type="dxa"/>
            <w:gridSpan w:val="2"/>
            <w:tcBorders>
              <w:top w:val="single" w:color="auto" w:sz="4" w:space="0"/>
              <w:left w:val="single" w:color="auto" w:sz="4" w:space="0"/>
              <w:bottom w:val="single" w:color="auto" w:sz="8" w:space="0"/>
              <w:right w:val="single" w:color="auto" w:sz="4" w:space="0"/>
            </w:tcBorders>
            <w:noWrap w:val="0"/>
            <w:vAlign w:val="center"/>
          </w:tcPr>
          <w:p w14:paraId="0279279C">
            <w:pPr>
              <w:spacing w:line="280" w:lineRule="exact"/>
              <w:ind w:right="-65" w:rightChars="-31"/>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千元</w:t>
            </w:r>
          </w:p>
        </w:tc>
        <w:tc>
          <w:tcPr>
            <w:tcW w:w="1278" w:type="dxa"/>
            <w:gridSpan w:val="2"/>
            <w:tcBorders>
              <w:top w:val="single" w:color="auto" w:sz="4" w:space="0"/>
              <w:left w:val="single" w:color="auto" w:sz="4" w:space="0"/>
              <w:bottom w:val="single" w:color="auto" w:sz="8" w:space="0"/>
              <w:right w:val="single" w:color="auto" w:sz="4" w:space="0"/>
            </w:tcBorders>
            <w:noWrap w:val="0"/>
            <w:vAlign w:val="center"/>
          </w:tcPr>
          <w:p w14:paraId="34190577">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QC233</w:t>
            </w:r>
          </w:p>
        </w:tc>
        <w:tc>
          <w:tcPr>
            <w:tcW w:w="1533" w:type="dxa"/>
            <w:tcBorders>
              <w:top w:val="single" w:color="auto" w:sz="4" w:space="0"/>
              <w:left w:val="single" w:color="auto" w:sz="4" w:space="0"/>
              <w:bottom w:val="single" w:color="auto" w:sz="8" w:space="0"/>
              <w:right w:val="nil"/>
            </w:tcBorders>
            <w:noWrap w:val="0"/>
            <w:vAlign w:val="top"/>
          </w:tcPr>
          <w:p w14:paraId="3892B4AF">
            <w:pPr>
              <w:spacing w:line="280" w:lineRule="exact"/>
              <w:ind w:left="-1" w:leftChars="-25" w:right="-78" w:rightChars="-37" w:hanging="52" w:hangingChars="29"/>
              <w:jc w:val="center"/>
              <w:rPr>
                <w:rFonts w:ascii="Times New Roman" w:hAnsi="Times New Roman"/>
                <w:bCs/>
                <w:color w:val="auto"/>
                <w:sz w:val="18"/>
                <w:szCs w:val="24"/>
                <w:highlight w:val="none"/>
              </w:rPr>
            </w:pPr>
          </w:p>
        </w:tc>
      </w:tr>
    </w:tbl>
    <w:p w14:paraId="7D2FCE88">
      <w:pPr>
        <w:rPr>
          <w:rFonts w:ascii="Times New Roman" w:hAnsi="Times New Roman"/>
          <w:bCs/>
          <w:color w:val="auto"/>
          <w:highlight w:val="none"/>
        </w:rPr>
      </w:pPr>
      <w:r>
        <w:rPr>
          <w:rFonts w:ascii="Times New Roman" w:hAnsi="Times New Roman"/>
          <w:bCs/>
          <w:color w:val="auto"/>
          <w:szCs w:val="24"/>
          <w:highlight w:val="none"/>
        </w:rPr>
        <w:br w:type="page"/>
      </w:r>
      <w:r>
        <w:rPr>
          <w:rFonts w:ascii="Times New Roman" w:hAnsi="Times New Roman"/>
          <w:bCs/>
          <w:color w:val="auto"/>
          <w:sz w:val="18"/>
          <w:szCs w:val="18"/>
          <w:highlight w:val="none"/>
        </w:rPr>
        <w:t>续表</w:t>
      </w:r>
      <w:r>
        <w:rPr>
          <w:rFonts w:hint="eastAsia" w:ascii="Times New Roman" w:hAnsi="Times New Roman"/>
          <w:bCs/>
          <w:color w:val="auto"/>
          <w:sz w:val="18"/>
          <w:szCs w:val="18"/>
          <w:highlight w:val="none"/>
          <w:lang w:eastAsia="zh-CN"/>
        </w:rPr>
        <w:t>一</w:t>
      </w:r>
      <w:r>
        <w:rPr>
          <w:rFonts w:ascii="Times New Roman" w:hAnsi="Times New Roman"/>
          <w:bCs/>
          <w:color w:val="auto"/>
          <w:sz w:val="18"/>
          <w:szCs w:val="18"/>
          <w:highlight w:val="none"/>
        </w:rPr>
        <w:t>：</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0"/>
        <w:gridCol w:w="1419"/>
        <w:gridCol w:w="1281"/>
        <w:gridCol w:w="1481"/>
      </w:tblGrid>
      <w:tr w14:paraId="7FB47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8" w:space="0"/>
              <w:left w:val="nil"/>
              <w:bottom w:val="single" w:color="auto" w:sz="4" w:space="0"/>
              <w:right w:val="single" w:color="auto" w:sz="2" w:space="0"/>
            </w:tcBorders>
            <w:noWrap w:val="0"/>
            <w:vAlign w:val="center"/>
          </w:tcPr>
          <w:p w14:paraId="0EC7E075">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指标名称</w:t>
            </w:r>
          </w:p>
        </w:tc>
        <w:tc>
          <w:tcPr>
            <w:tcW w:w="1419" w:type="dxa"/>
            <w:tcBorders>
              <w:top w:val="single" w:color="auto" w:sz="8" w:space="0"/>
              <w:left w:val="single" w:color="auto" w:sz="2" w:space="0"/>
              <w:bottom w:val="single" w:color="auto" w:sz="4" w:space="0"/>
              <w:right w:val="single" w:color="auto" w:sz="2" w:space="0"/>
            </w:tcBorders>
            <w:noWrap w:val="0"/>
            <w:vAlign w:val="center"/>
          </w:tcPr>
          <w:p w14:paraId="5993462C">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计量单位</w:t>
            </w:r>
          </w:p>
        </w:tc>
        <w:tc>
          <w:tcPr>
            <w:tcW w:w="1281" w:type="dxa"/>
            <w:tcBorders>
              <w:top w:val="single" w:color="auto" w:sz="8" w:space="0"/>
              <w:left w:val="single" w:color="auto" w:sz="2" w:space="0"/>
              <w:bottom w:val="single" w:color="auto" w:sz="4" w:space="0"/>
              <w:right w:val="single" w:color="auto" w:sz="4" w:space="0"/>
            </w:tcBorders>
            <w:noWrap w:val="0"/>
            <w:vAlign w:val="center"/>
          </w:tcPr>
          <w:p w14:paraId="67968406">
            <w:pPr>
              <w:spacing w:line="280" w:lineRule="exact"/>
              <w:ind w:left="-1" w:leftChars="-25" w:right="-78" w:rightChars="-37" w:hanging="52" w:hangingChars="29"/>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代码</w:t>
            </w:r>
          </w:p>
        </w:tc>
        <w:tc>
          <w:tcPr>
            <w:tcW w:w="1481" w:type="dxa"/>
            <w:tcBorders>
              <w:top w:val="single" w:color="auto" w:sz="8" w:space="0"/>
              <w:left w:val="single" w:color="auto" w:sz="4" w:space="0"/>
              <w:bottom w:val="single" w:color="auto" w:sz="4" w:space="0"/>
              <w:right w:val="nil"/>
            </w:tcBorders>
            <w:noWrap w:val="0"/>
            <w:vAlign w:val="center"/>
          </w:tcPr>
          <w:p w14:paraId="40013BAA">
            <w:pPr>
              <w:spacing w:line="280" w:lineRule="exact"/>
              <w:ind w:left="-1" w:leftChars="-25" w:right="-78" w:rightChars="-37" w:hanging="52" w:hangingChars="29"/>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数量</w:t>
            </w:r>
          </w:p>
        </w:tc>
      </w:tr>
      <w:tr w14:paraId="08308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left w:val="nil"/>
              <w:bottom w:val="single" w:color="auto" w:sz="4" w:space="0"/>
              <w:right w:val="single" w:color="auto" w:sz="2" w:space="0"/>
            </w:tcBorders>
            <w:noWrap w:val="0"/>
            <w:vAlign w:val="center"/>
          </w:tcPr>
          <w:p w14:paraId="2EBDCB69">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甲</w:t>
            </w:r>
          </w:p>
        </w:tc>
        <w:tc>
          <w:tcPr>
            <w:tcW w:w="1419" w:type="dxa"/>
            <w:tcBorders>
              <w:left w:val="single" w:color="auto" w:sz="2" w:space="0"/>
              <w:bottom w:val="single" w:color="auto" w:sz="4" w:space="0"/>
            </w:tcBorders>
            <w:noWrap w:val="0"/>
            <w:vAlign w:val="center"/>
          </w:tcPr>
          <w:p w14:paraId="24C98848">
            <w:pPr>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乙</w:t>
            </w:r>
          </w:p>
        </w:tc>
        <w:tc>
          <w:tcPr>
            <w:tcW w:w="1281" w:type="dxa"/>
            <w:tcBorders>
              <w:bottom w:val="single" w:color="auto" w:sz="4" w:space="0"/>
              <w:right w:val="nil"/>
            </w:tcBorders>
            <w:noWrap w:val="0"/>
            <w:vAlign w:val="center"/>
          </w:tcPr>
          <w:p w14:paraId="0A3E52B2">
            <w:pPr>
              <w:spacing w:line="280" w:lineRule="exact"/>
              <w:ind w:left="-1" w:leftChars="-25" w:right="-78" w:rightChars="-37" w:hanging="52" w:hangingChars="29"/>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丙</w:t>
            </w:r>
          </w:p>
        </w:tc>
        <w:tc>
          <w:tcPr>
            <w:tcW w:w="1481" w:type="dxa"/>
            <w:tcBorders>
              <w:bottom w:val="single" w:color="auto" w:sz="4" w:space="0"/>
              <w:right w:val="nil"/>
            </w:tcBorders>
            <w:noWrap w:val="0"/>
            <w:vAlign w:val="center"/>
          </w:tcPr>
          <w:p w14:paraId="3AE0D199">
            <w:pPr>
              <w:spacing w:line="280" w:lineRule="exact"/>
              <w:ind w:left="-1" w:leftChars="-25" w:right="-78" w:rightChars="-37" w:hanging="52" w:hangingChars="29"/>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1</w:t>
            </w:r>
          </w:p>
        </w:tc>
      </w:tr>
      <w:tr w14:paraId="2C854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left w:val="nil"/>
              <w:bottom w:val="single" w:color="auto" w:sz="4" w:space="0"/>
              <w:right w:val="single" w:color="auto" w:sz="2" w:space="0"/>
            </w:tcBorders>
            <w:noWrap w:val="0"/>
            <w:vAlign w:val="center"/>
          </w:tcPr>
          <w:p w14:paraId="33F190B7">
            <w:pPr>
              <w:spacing w:line="280" w:lineRule="exact"/>
              <w:jc w:val="both"/>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其他收益</w:t>
            </w:r>
          </w:p>
        </w:tc>
        <w:tc>
          <w:tcPr>
            <w:tcW w:w="1419" w:type="dxa"/>
            <w:tcBorders>
              <w:left w:val="single" w:color="auto" w:sz="2" w:space="0"/>
              <w:bottom w:val="single" w:color="auto" w:sz="4" w:space="0"/>
            </w:tcBorders>
            <w:noWrap w:val="0"/>
            <w:vAlign w:val="center"/>
          </w:tcPr>
          <w:p w14:paraId="559A6A82">
            <w:pPr>
              <w:spacing w:line="280" w:lineRule="exact"/>
              <w:ind w:right="-65" w:rightChars="-31"/>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千元</w:t>
            </w:r>
          </w:p>
        </w:tc>
        <w:tc>
          <w:tcPr>
            <w:tcW w:w="1281" w:type="dxa"/>
            <w:tcBorders>
              <w:bottom w:val="single" w:color="auto" w:sz="4" w:space="0"/>
              <w:right w:val="nil"/>
            </w:tcBorders>
            <w:noWrap w:val="0"/>
            <w:vAlign w:val="center"/>
          </w:tcPr>
          <w:p w14:paraId="1C8FA1FE">
            <w:pPr>
              <w:spacing w:line="280" w:lineRule="exact"/>
              <w:ind w:left="-1" w:leftChars="-25" w:right="-78" w:rightChars="-37" w:hanging="52" w:hangingChars="29"/>
              <w:jc w:val="center"/>
              <w:rPr>
                <w:rFonts w:cs="Calibri"/>
                <w:bCs/>
                <w:color w:val="auto"/>
                <w:kern w:val="2"/>
                <w:sz w:val="18"/>
                <w:szCs w:val="24"/>
                <w:highlight w:val="none"/>
                <w:lang w:val="en-US" w:eastAsia="zh-CN" w:bidi="ar-SA"/>
              </w:rPr>
            </w:pPr>
            <w:r>
              <w:rPr>
                <w:rFonts w:cs="Calibri"/>
                <w:bCs/>
                <w:color w:val="auto"/>
                <w:sz w:val="18"/>
                <w:szCs w:val="24"/>
                <w:highlight w:val="none"/>
              </w:rPr>
              <w:t>QC232</w:t>
            </w:r>
          </w:p>
        </w:tc>
        <w:tc>
          <w:tcPr>
            <w:tcW w:w="1481" w:type="dxa"/>
            <w:tcBorders>
              <w:bottom w:val="single" w:color="auto" w:sz="4" w:space="0"/>
              <w:right w:val="nil"/>
            </w:tcBorders>
            <w:noWrap w:val="0"/>
            <w:vAlign w:val="top"/>
          </w:tcPr>
          <w:p w14:paraId="7D4988A6">
            <w:pPr>
              <w:spacing w:line="280" w:lineRule="exact"/>
              <w:ind w:left="-1" w:leftChars="-25" w:right="-78" w:rightChars="-37" w:hanging="52" w:hangingChars="29"/>
              <w:jc w:val="center"/>
              <w:rPr>
                <w:rFonts w:ascii="Times New Roman" w:hAnsi="Times New Roman"/>
                <w:bCs/>
                <w:color w:val="auto"/>
                <w:kern w:val="2"/>
                <w:sz w:val="18"/>
                <w:szCs w:val="24"/>
                <w:highlight w:val="none"/>
                <w:lang w:val="en-US" w:eastAsia="zh-CN" w:bidi="ar-SA"/>
              </w:rPr>
            </w:pPr>
          </w:p>
        </w:tc>
      </w:tr>
      <w:tr w14:paraId="46F4C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left w:val="nil"/>
              <w:bottom w:val="single" w:color="auto" w:sz="4" w:space="0"/>
              <w:right w:val="single" w:color="auto" w:sz="2" w:space="0"/>
            </w:tcBorders>
            <w:noWrap w:val="0"/>
            <w:vAlign w:val="center"/>
          </w:tcPr>
          <w:p w14:paraId="365778F7">
            <w:pPr>
              <w:spacing w:line="280" w:lineRule="exact"/>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营业利润</w:t>
            </w:r>
          </w:p>
        </w:tc>
        <w:tc>
          <w:tcPr>
            <w:tcW w:w="1419" w:type="dxa"/>
            <w:tcBorders>
              <w:left w:val="single" w:color="auto" w:sz="2" w:space="0"/>
              <w:bottom w:val="single" w:color="auto" w:sz="4" w:space="0"/>
            </w:tcBorders>
            <w:noWrap w:val="0"/>
            <w:vAlign w:val="center"/>
          </w:tcPr>
          <w:p w14:paraId="034FD7CE">
            <w:pPr>
              <w:spacing w:line="280" w:lineRule="exact"/>
              <w:ind w:right="-65" w:rightChars="-31"/>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千元</w:t>
            </w:r>
          </w:p>
        </w:tc>
        <w:tc>
          <w:tcPr>
            <w:tcW w:w="1281" w:type="dxa"/>
            <w:tcBorders>
              <w:bottom w:val="single" w:color="auto" w:sz="4" w:space="0"/>
              <w:right w:val="nil"/>
            </w:tcBorders>
            <w:noWrap w:val="0"/>
            <w:vAlign w:val="center"/>
          </w:tcPr>
          <w:p w14:paraId="210F928E">
            <w:pPr>
              <w:spacing w:line="280" w:lineRule="exact"/>
              <w:ind w:left="-1" w:leftChars="-25" w:right="-78" w:rightChars="-37" w:hanging="52" w:hangingChars="29"/>
              <w:jc w:val="center"/>
              <w:rPr>
                <w:rFonts w:cs="Calibri"/>
                <w:bCs/>
                <w:color w:val="auto"/>
                <w:kern w:val="2"/>
                <w:sz w:val="18"/>
                <w:szCs w:val="24"/>
                <w:highlight w:val="none"/>
                <w:lang w:val="en-US" w:eastAsia="zh-CN" w:bidi="ar-SA"/>
              </w:rPr>
            </w:pPr>
            <w:r>
              <w:rPr>
                <w:rFonts w:cs="Calibri"/>
                <w:bCs/>
                <w:color w:val="auto"/>
                <w:sz w:val="18"/>
                <w:szCs w:val="24"/>
                <w:highlight w:val="none"/>
              </w:rPr>
              <w:t>QC120</w:t>
            </w:r>
          </w:p>
        </w:tc>
        <w:tc>
          <w:tcPr>
            <w:tcW w:w="1481" w:type="dxa"/>
            <w:tcBorders>
              <w:bottom w:val="single" w:color="auto" w:sz="4" w:space="0"/>
              <w:right w:val="nil"/>
            </w:tcBorders>
            <w:noWrap w:val="0"/>
            <w:vAlign w:val="top"/>
          </w:tcPr>
          <w:p w14:paraId="65B3B5AB">
            <w:pPr>
              <w:spacing w:line="280" w:lineRule="exact"/>
              <w:ind w:left="-1" w:leftChars="-25" w:right="-78" w:rightChars="-37" w:hanging="52" w:hangingChars="29"/>
              <w:jc w:val="center"/>
              <w:rPr>
                <w:rFonts w:ascii="Times New Roman" w:hAnsi="Times New Roman"/>
                <w:bCs/>
                <w:color w:val="auto"/>
                <w:kern w:val="2"/>
                <w:sz w:val="18"/>
                <w:szCs w:val="24"/>
                <w:highlight w:val="none"/>
                <w:lang w:val="en-US" w:eastAsia="zh-CN" w:bidi="ar-SA"/>
              </w:rPr>
            </w:pPr>
          </w:p>
        </w:tc>
      </w:tr>
      <w:tr w14:paraId="3BD56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left w:val="nil"/>
              <w:bottom w:val="single" w:color="auto" w:sz="4" w:space="0"/>
              <w:right w:val="single" w:color="auto" w:sz="2" w:space="0"/>
            </w:tcBorders>
            <w:noWrap w:val="0"/>
            <w:vAlign w:val="center"/>
          </w:tcPr>
          <w:p w14:paraId="7E45DE6E">
            <w:pPr>
              <w:spacing w:line="280" w:lineRule="exact"/>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营业外收入</w:t>
            </w:r>
          </w:p>
        </w:tc>
        <w:tc>
          <w:tcPr>
            <w:tcW w:w="1419" w:type="dxa"/>
            <w:tcBorders>
              <w:left w:val="single" w:color="auto" w:sz="2" w:space="0"/>
              <w:bottom w:val="single" w:color="auto" w:sz="4" w:space="0"/>
            </w:tcBorders>
            <w:noWrap w:val="0"/>
            <w:vAlign w:val="center"/>
          </w:tcPr>
          <w:p w14:paraId="146A3FD1">
            <w:pPr>
              <w:spacing w:line="280" w:lineRule="exact"/>
              <w:ind w:right="-48" w:rightChars="-23"/>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千元</w:t>
            </w:r>
          </w:p>
        </w:tc>
        <w:tc>
          <w:tcPr>
            <w:tcW w:w="1281" w:type="dxa"/>
            <w:tcBorders>
              <w:bottom w:val="single" w:color="auto" w:sz="4" w:space="0"/>
              <w:right w:val="nil"/>
            </w:tcBorders>
            <w:noWrap w:val="0"/>
            <w:vAlign w:val="center"/>
          </w:tcPr>
          <w:p w14:paraId="4D011ECF">
            <w:pPr>
              <w:spacing w:line="280" w:lineRule="exact"/>
              <w:ind w:right="-78" w:rightChars="-37"/>
              <w:jc w:val="center"/>
              <w:rPr>
                <w:rFonts w:cs="Calibri"/>
                <w:bCs/>
                <w:color w:val="auto"/>
                <w:kern w:val="2"/>
                <w:sz w:val="18"/>
                <w:szCs w:val="24"/>
                <w:highlight w:val="none"/>
                <w:lang w:val="en-US" w:eastAsia="zh-CN" w:bidi="ar-SA"/>
              </w:rPr>
            </w:pPr>
            <w:r>
              <w:rPr>
                <w:rFonts w:cs="Calibri"/>
                <w:bCs/>
                <w:color w:val="auto"/>
                <w:sz w:val="18"/>
                <w:szCs w:val="24"/>
                <w:highlight w:val="none"/>
              </w:rPr>
              <w:t>QC227</w:t>
            </w:r>
          </w:p>
        </w:tc>
        <w:tc>
          <w:tcPr>
            <w:tcW w:w="1481" w:type="dxa"/>
            <w:tcBorders>
              <w:bottom w:val="single" w:color="auto" w:sz="4" w:space="0"/>
              <w:right w:val="nil"/>
            </w:tcBorders>
            <w:noWrap w:val="0"/>
            <w:vAlign w:val="top"/>
          </w:tcPr>
          <w:p w14:paraId="2B8949AE">
            <w:pPr>
              <w:spacing w:line="280" w:lineRule="exact"/>
              <w:ind w:left="-1" w:leftChars="-25" w:right="-78" w:rightChars="-37" w:hanging="52" w:hangingChars="29"/>
              <w:jc w:val="center"/>
              <w:rPr>
                <w:rFonts w:ascii="Times New Roman" w:hAnsi="Times New Roman"/>
                <w:bCs/>
                <w:color w:val="auto"/>
                <w:kern w:val="2"/>
                <w:sz w:val="18"/>
                <w:szCs w:val="24"/>
                <w:highlight w:val="none"/>
                <w:lang w:val="en-US" w:eastAsia="zh-CN" w:bidi="ar-SA"/>
              </w:rPr>
            </w:pPr>
          </w:p>
        </w:tc>
      </w:tr>
      <w:tr w14:paraId="7B6E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left w:val="nil"/>
              <w:bottom w:val="single" w:color="auto" w:sz="4" w:space="0"/>
              <w:right w:val="single" w:color="auto" w:sz="2" w:space="0"/>
            </w:tcBorders>
            <w:noWrap w:val="0"/>
            <w:vAlign w:val="center"/>
          </w:tcPr>
          <w:p w14:paraId="35608173">
            <w:pPr>
              <w:spacing w:line="280" w:lineRule="exact"/>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营业外支出</w:t>
            </w:r>
          </w:p>
        </w:tc>
        <w:tc>
          <w:tcPr>
            <w:tcW w:w="1419" w:type="dxa"/>
            <w:tcBorders>
              <w:left w:val="single" w:color="auto" w:sz="2" w:space="0"/>
              <w:bottom w:val="single" w:color="auto" w:sz="4" w:space="0"/>
            </w:tcBorders>
            <w:noWrap w:val="0"/>
            <w:vAlign w:val="center"/>
          </w:tcPr>
          <w:p w14:paraId="7AEBB40F">
            <w:pPr>
              <w:spacing w:line="280" w:lineRule="exact"/>
              <w:ind w:right="-65" w:rightChars="-31"/>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千元</w:t>
            </w:r>
          </w:p>
        </w:tc>
        <w:tc>
          <w:tcPr>
            <w:tcW w:w="1281" w:type="dxa"/>
            <w:tcBorders>
              <w:bottom w:val="single" w:color="auto" w:sz="4" w:space="0"/>
              <w:right w:val="nil"/>
            </w:tcBorders>
            <w:noWrap w:val="0"/>
            <w:vAlign w:val="center"/>
          </w:tcPr>
          <w:p w14:paraId="644F2676">
            <w:pPr>
              <w:spacing w:line="280" w:lineRule="exact"/>
              <w:ind w:left="-1" w:leftChars="-25" w:right="-78" w:rightChars="-37" w:hanging="52" w:hangingChars="29"/>
              <w:jc w:val="center"/>
              <w:rPr>
                <w:rFonts w:cs="Calibri"/>
                <w:bCs/>
                <w:color w:val="auto"/>
                <w:kern w:val="2"/>
                <w:sz w:val="18"/>
                <w:szCs w:val="24"/>
                <w:highlight w:val="none"/>
                <w:lang w:val="en-US" w:eastAsia="zh-CN" w:bidi="ar-SA"/>
              </w:rPr>
            </w:pPr>
            <w:r>
              <w:rPr>
                <w:rFonts w:cs="Calibri"/>
                <w:bCs/>
                <w:color w:val="auto"/>
                <w:sz w:val="18"/>
                <w:szCs w:val="24"/>
                <w:highlight w:val="none"/>
              </w:rPr>
              <w:t>QC230</w:t>
            </w:r>
          </w:p>
        </w:tc>
        <w:tc>
          <w:tcPr>
            <w:tcW w:w="1481" w:type="dxa"/>
            <w:tcBorders>
              <w:bottom w:val="single" w:color="auto" w:sz="4" w:space="0"/>
              <w:right w:val="nil"/>
            </w:tcBorders>
            <w:noWrap w:val="0"/>
            <w:vAlign w:val="top"/>
          </w:tcPr>
          <w:p w14:paraId="4FAB715E">
            <w:pPr>
              <w:spacing w:line="280" w:lineRule="exact"/>
              <w:ind w:left="-1" w:leftChars="-25" w:right="-78" w:rightChars="-37" w:hanging="52" w:hangingChars="29"/>
              <w:jc w:val="center"/>
              <w:rPr>
                <w:rFonts w:ascii="Times New Roman" w:hAnsi="Times New Roman"/>
                <w:bCs/>
                <w:color w:val="auto"/>
                <w:kern w:val="2"/>
                <w:sz w:val="18"/>
                <w:szCs w:val="24"/>
                <w:highlight w:val="none"/>
                <w:lang w:val="en-US" w:eastAsia="zh-CN" w:bidi="ar-SA"/>
              </w:rPr>
            </w:pPr>
          </w:p>
        </w:tc>
      </w:tr>
      <w:tr w14:paraId="6C492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left w:val="nil"/>
              <w:bottom w:val="single" w:color="auto" w:sz="4" w:space="0"/>
              <w:right w:val="single" w:color="auto" w:sz="2" w:space="0"/>
            </w:tcBorders>
            <w:noWrap w:val="0"/>
            <w:vAlign w:val="center"/>
          </w:tcPr>
          <w:p w14:paraId="13C46528">
            <w:pPr>
              <w:spacing w:line="280" w:lineRule="exact"/>
              <w:jc w:val="both"/>
              <w:rPr>
                <w:bCs/>
                <w:color w:val="auto"/>
                <w:kern w:val="2"/>
                <w:sz w:val="18"/>
                <w:szCs w:val="24"/>
                <w:highlight w:val="none"/>
                <w:lang w:val="en-US" w:eastAsia="zh-CN" w:bidi="ar-SA"/>
              </w:rPr>
            </w:pPr>
            <w:r>
              <w:rPr>
                <w:bCs/>
                <w:color w:val="auto"/>
                <w:sz w:val="18"/>
                <w:szCs w:val="18"/>
                <w:highlight w:val="none"/>
              </w:rPr>
              <w:t>利润总额</w:t>
            </w:r>
          </w:p>
        </w:tc>
        <w:tc>
          <w:tcPr>
            <w:tcW w:w="1419" w:type="dxa"/>
            <w:tcBorders>
              <w:left w:val="single" w:color="auto" w:sz="2" w:space="0"/>
              <w:bottom w:val="single" w:color="auto" w:sz="4" w:space="0"/>
            </w:tcBorders>
            <w:noWrap w:val="0"/>
            <w:vAlign w:val="center"/>
          </w:tcPr>
          <w:p w14:paraId="2DC0CD6E">
            <w:pPr>
              <w:spacing w:line="280" w:lineRule="exact"/>
              <w:jc w:val="center"/>
              <w:rPr>
                <w:bCs/>
                <w:color w:val="auto"/>
                <w:kern w:val="2"/>
                <w:sz w:val="18"/>
                <w:szCs w:val="24"/>
                <w:highlight w:val="none"/>
                <w:lang w:val="en-US" w:eastAsia="zh-CN" w:bidi="ar-SA"/>
              </w:rPr>
            </w:pPr>
            <w:r>
              <w:rPr>
                <w:bCs/>
                <w:color w:val="auto"/>
                <w:sz w:val="18"/>
                <w:szCs w:val="24"/>
                <w:highlight w:val="none"/>
              </w:rPr>
              <w:t>千元</w:t>
            </w:r>
          </w:p>
        </w:tc>
        <w:tc>
          <w:tcPr>
            <w:tcW w:w="1281" w:type="dxa"/>
            <w:tcBorders>
              <w:bottom w:val="single" w:color="auto" w:sz="4" w:space="0"/>
              <w:right w:val="nil"/>
            </w:tcBorders>
            <w:noWrap w:val="0"/>
            <w:vAlign w:val="center"/>
          </w:tcPr>
          <w:p w14:paraId="63336DE2">
            <w:pPr>
              <w:spacing w:line="280" w:lineRule="exact"/>
              <w:ind w:left="-1" w:leftChars="-25" w:right="-78" w:rightChars="-37" w:hanging="52" w:hangingChars="29"/>
              <w:jc w:val="center"/>
              <w:rPr>
                <w:rFonts w:cs="Calibri"/>
                <w:bCs/>
                <w:color w:val="auto"/>
                <w:kern w:val="2"/>
                <w:sz w:val="18"/>
                <w:szCs w:val="24"/>
                <w:highlight w:val="none"/>
                <w:lang w:val="en-US" w:eastAsia="zh-CN" w:bidi="ar-SA"/>
              </w:rPr>
            </w:pPr>
            <w:r>
              <w:rPr>
                <w:rFonts w:cs="Calibri"/>
                <w:bCs/>
                <w:color w:val="auto"/>
                <w:sz w:val="18"/>
                <w:szCs w:val="24"/>
                <w:highlight w:val="none"/>
              </w:rPr>
              <w:t>QC234</w:t>
            </w:r>
          </w:p>
        </w:tc>
        <w:tc>
          <w:tcPr>
            <w:tcW w:w="1481" w:type="dxa"/>
            <w:tcBorders>
              <w:bottom w:val="single" w:color="auto" w:sz="4" w:space="0"/>
              <w:right w:val="nil"/>
            </w:tcBorders>
            <w:noWrap w:val="0"/>
            <w:vAlign w:val="top"/>
          </w:tcPr>
          <w:p w14:paraId="23E5E93F">
            <w:pPr>
              <w:spacing w:line="280" w:lineRule="exact"/>
              <w:ind w:left="-1" w:leftChars="-25" w:right="-78" w:rightChars="-37" w:hanging="52" w:hangingChars="29"/>
              <w:jc w:val="center"/>
              <w:rPr>
                <w:rFonts w:cs="Calibri"/>
                <w:bCs/>
                <w:color w:val="auto"/>
                <w:kern w:val="2"/>
                <w:sz w:val="18"/>
                <w:szCs w:val="24"/>
                <w:highlight w:val="none"/>
                <w:lang w:val="en-US" w:eastAsia="zh-CN" w:bidi="ar-SA"/>
              </w:rPr>
            </w:pPr>
          </w:p>
        </w:tc>
      </w:tr>
      <w:tr w14:paraId="1D2FF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left w:val="nil"/>
              <w:bottom w:val="single" w:color="auto" w:sz="4" w:space="0"/>
              <w:right w:val="single" w:color="auto" w:sz="2" w:space="0"/>
            </w:tcBorders>
            <w:noWrap w:val="0"/>
            <w:vAlign w:val="center"/>
          </w:tcPr>
          <w:p w14:paraId="05702AF0">
            <w:pPr>
              <w:spacing w:line="280" w:lineRule="exact"/>
              <w:jc w:val="both"/>
              <w:rPr>
                <w:bCs/>
                <w:color w:val="auto"/>
                <w:sz w:val="18"/>
                <w:szCs w:val="24"/>
                <w:highlight w:val="none"/>
              </w:rPr>
            </w:pPr>
            <w:r>
              <w:rPr>
                <w:bCs/>
                <w:color w:val="auto"/>
                <w:sz w:val="18"/>
                <w:szCs w:val="24"/>
                <w:highlight w:val="none"/>
              </w:rPr>
              <w:t>净利润</w:t>
            </w:r>
          </w:p>
        </w:tc>
        <w:tc>
          <w:tcPr>
            <w:tcW w:w="1419" w:type="dxa"/>
            <w:tcBorders>
              <w:left w:val="single" w:color="auto" w:sz="2" w:space="0"/>
              <w:bottom w:val="single" w:color="auto" w:sz="4" w:space="0"/>
            </w:tcBorders>
            <w:noWrap w:val="0"/>
            <w:vAlign w:val="center"/>
          </w:tcPr>
          <w:p w14:paraId="67F22A65">
            <w:pPr>
              <w:spacing w:line="280" w:lineRule="exact"/>
              <w:jc w:val="center"/>
              <w:rPr>
                <w:bCs/>
                <w:color w:val="auto"/>
                <w:sz w:val="18"/>
                <w:szCs w:val="24"/>
                <w:highlight w:val="none"/>
              </w:rPr>
            </w:pPr>
            <w:r>
              <w:rPr>
                <w:bCs/>
                <w:color w:val="auto"/>
                <w:sz w:val="18"/>
                <w:szCs w:val="24"/>
                <w:highlight w:val="none"/>
              </w:rPr>
              <w:t>千元</w:t>
            </w:r>
          </w:p>
        </w:tc>
        <w:tc>
          <w:tcPr>
            <w:tcW w:w="1281" w:type="dxa"/>
            <w:tcBorders>
              <w:bottom w:val="single" w:color="auto" w:sz="4" w:space="0"/>
              <w:right w:val="nil"/>
            </w:tcBorders>
            <w:noWrap w:val="0"/>
            <w:vAlign w:val="center"/>
          </w:tcPr>
          <w:p w14:paraId="50510658">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QC12</w:t>
            </w:r>
          </w:p>
        </w:tc>
        <w:tc>
          <w:tcPr>
            <w:tcW w:w="1481" w:type="dxa"/>
            <w:tcBorders>
              <w:bottom w:val="single" w:color="auto" w:sz="4" w:space="0"/>
              <w:right w:val="nil"/>
            </w:tcBorders>
            <w:noWrap w:val="0"/>
            <w:vAlign w:val="top"/>
          </w:tcPr>
          <w:p w14:paraId="1E8241EA">
            <w:pPr>
              <w:spacing w:line="280" w:lineRule="exact"/>
              <w:ind w:left="-1" w:leftChars="-25" w:right="-78" w:rightChars="-37" w:hanging="52" w:hangingChars="29"/>
              <w:jc w:val="center"/>
              <w:rPr>
                <w:rFonts w:cs="Calibri"/>
                <w:bCs/>
                <w:color w:val="auto"/>
                <w:sz w:val="18"/>
                <w:szCs w:val="24"/>
                <w:highlight w:val="none"/>
              </w:rPr>
            </w:pPr>
          </w:p>
        </w:tc>
      </w:tr>
      <w:tr w14:paraId="6F24D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left w:val="nil"/>
              <w:bottom w:val="single" w:color="auto" w:sz="4" w:space="0"/>
              <w:right w:val="single" w:color="auto" w:sz="2" w:space="0"/>
            </w:tcBorders>
            <w:noWrap w:val="0"/>
            <w:vAlign w:val="center"/>
          </w:tcPr>
          <w:p w14:paraId="50E69D27">
            <w:pPr>
              <w:spacing w:line="280" w:lineRule="exact"/>
              <w:jc w:val="both"/>
              <w:rPr>
                <w:bCs/>
                <w:color w:val="auto"/>
                <w:sz w:val="18"/>
                <w:szCs w:val="24"/>
                <w:highlight w:val="none"/>
              </w:rPr>
            </w:pPr>
            <w:r>
              <w:rPr>
                <w:bCs/>
                <w:color w:val="auto"/>
                <w:sz w:val="18"/>
                <w:szCs w:val="24"/>
                <w:highlight w:val="none"/>
              </w:rPr>
              <w:t>所得税费用</w:t>
            </w:r>
          </w:p>
        </w:tc>
        <w:tc>
          <w:tcPr>
            <w:tcW w:w="1419" w:type="dxa"/>
            <w:tcBorders>
              <w:left w:val="single" w:color="auto" w:sz="2" w:space="0"/>
              <w:bottom w:val="single" w:color="auto" w:sz="4" w:space="0"/>
            </w:tcBorders>
            <w:noWrap w:val="0"/>
            <w:vAlign w:val="center"/>
          </w:tcPr>
          <w:p w14:paraId="7A956F05">
            <w:pPr>
              <w:spacing w:line="280" w:lineRule="exact"/>
              <w:jc w:val="center"/>
              <w:rPr>
                <w:bCs/>
                <w:color w:val="auto"/>
                <w:sz w:val="18"/>
                <w:szCs w:val="24"/>
                <w:highlight w:val="none"/>
              </w:rPr>
            </w:pPr>
            <w:r>
              <w:rPr>
                <w:bCs/>
                <w:color w:val="auto"/>
                <w:sz w:val="18"/>
                <w:szCs w:val="24"/>
                <w:highlight w:val="none"/>
              </w:rPr>
              <w:t>千元</w:t>
            </w:r>
          </w:p>
        </w:tc>
        <w:tc>
          <w:tcPr>
            <w:tcW w:w="1281" w:type="dxa"/>
            <w:tcBorders>
              <w:bottom w:val="single" w:color="auto" w:sz="4" w:space="0"/>
              <w:right w:val="nil"/>
            </w:tcBorders>
            <w:noWrap w:val="0"/>
            <w:vAlign w:val="center"/>
          </w:tcPr>
          <w:p w14:paraId="1C6E1AFF">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QC231</w:t>
            </w:r>
          </w:p>
        </w:tc>
        <w:tc>
          <w:tcPr>
            <w:tcW w:w="1481" w:type="dxa"/>
            <w:tcBorders>
              <w:bottom w:val="single" w:color="auto" w:sz="4" w:space="0"/>
              <w:right w:val="nil"/>
            </w:tcBorders>
            <w:noWrap w:val="0"/>
            <w:vAlign w:val="center"/>
          </w:tcPr>
          <w:p w14:paraId="746E5447">
            <w:pPr>
              <w:spacing w:line="280" w:lineRule="exact"/>
              <w:ind w:left="-1" w:leftChars="-25" w:right="-78" w:rightChars="-37" w:hanging="52" w:hangingChars="29"/>
              <w:jc w:val="center"/>
              <w:rPr>
                <w:rFonts w:cs="Calibri"/>
                <w:bCs/>
                <w:color w:val="auto"/>
                <w:sz w:val="18"/>
                <w:szCs w:val="24"/>
                <w:highlight w:val="none"/>
              </w:rPr>
            </w:pPr>
          </w:p>
        </w:tc>
      </w:tr>
      <w:tr w14:paraId="5F635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7AA97925">
            <w:pPr>
              <w:spacing w:line="280" w:lineRule="exact"/>
              <w:rPr>
                <w:rFonts w:cs="Calibri"/>
                <w:bCs/>
                <w:color w:val="auto"/>
                <w:sz w:val="18"/>
                <w:szCs w:val="24"/>
                <w:highlight w:val="none"/>
              </w:rPr>
            </w:pPr>
            <w:r>
              <w:rPr>
                <w:rFonts w:cs="Calibri"/>
                <w:bCs/>
                <w:color w:val="auto"/>
                <w:sz w:val="18"/>
                <w:szCs w:val="24"/>
                <w:highlight w:val="none"/>
              </w:rPr>
              <w:t>实际上缴税费总额</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13≥</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14＋</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16）</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2EC11F1E">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014BB916">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QC13</w:t>
            </w:r>
          </w:p>
        </w:tc>
        <w:tc>
          <w:tcPr>
            <w:tcW w:w="1481" w:type="dxa"/>
            <w:tcBorders>
              <w:top w:val="single" w:color="auto" w:sz="4" w:space="0"/>
              <w:left w:val="single" w:color="auto" w:sz="4" w:space="0"/>
              <w:bottom w:val="single" w:color="auto" w:sz="4" w:space="0"/>
              <w:right w:val="nil"/>
            </w:tcBorders>
            <w:noWrap w:val="0"/>
            <w:vAlign w:val="top"/>
          </w:tcPr>
          <w:p w14:paraId="10F50F88">
            <w:pPr>
              <w:spacing w:line="280" w:lineRule="exact"/>
              <w:ind w:left="-1" w:leftChars="-25" w:right="-78" w:rightChars="-37" w:hanging="52" w:hangingChars="29"/>
              <w:jc w:val="center"/>
              <w:rPr>
                <w:rFonts w:cs="Calibri"/>
                <w:bCs/>
                <w:color w:val="auto"/>
                <w:sz w:val="18"/>
                <w:szCs w:val="24"/>
                <w:highlight w:val="none"/>
              </w:rPr>
            </w:pPr>
          </w:p>
        </w:tc>
      </w:tr>
      <w:tr w14:paraId="6D043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4DD1BEF4">
            <w:pPr>
              <w:tabs>
                <w:tab w:val="left" w:pos="462"/>
              </w:tabs>
              <w:spacing w:line="280" w:lineRule="exact"/>
              <w:ind w:firstLine="360"/>
              <w:rPr>
                <w:rFonts w:cs="Calibri"/>
                <w:bCs/>
                <w:color w:val="auto"/>
                <w:sz w:val="18"/>
                <w:szCs w:val="24"/>
                <w:highlight w:val="none"/>
              </w:rPr>
            </w:pPr>
            <w:r>
              <w:rPr>
                <w:rFonts w:cs="Calibri"/>
                <w:bCs/>
                <w:color w:val="auto"/>
                <w:sz w:val="18"/>
                <w:szCs w:val="24"/>
                <w:highlight w:val="none"/>
              </w:rPr>
              <w:t>其中：增值税</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32F735FE">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6A9DCBE1">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QC14</w:t>
            </w:r>
          </w:p>
        </w:tc>
        <w:tc>
          <w:tcPr>
            <w:tcW w:w="1481" w:type="dxa"/>
            <w:tcBorders>
              <w:top w:val="single" w:color="auto" w:sz="4" w:space="0"/>
              <w:left w:val="single" w:color="auto" w:sz="4" w:space="0"/>
              <w:bottom w:val="single" w:color="auto" w:sz="4" w:space="0"/>
              <w:right w:val="nil"/>
            </w:tcBorders>
            <w:noWrap w:val="0"/>
            <w:vAlign w:val="top"/>
          </w:tcPr>
          <w:p w14:paraId="64AE20FB">
            <w:pPr>
              <w:spacing w:line="280" w:lineRule="exact"/>
              <w:ind w:left="-1" w:leftChars="-25" w:right="-78" w:rightChars="-37" w:hanging="52" w:hangingChars="29"/>
              <w:jc w:val="center"/>
              <w:rPr>
                <w:rFonts w:cs="Calibri"/>
                <w:bCs/>
                <w:color w:val="auto"/>
                <w:sz w:val="18"/>
                <w:szCs w:val="24"/>
                <w:highlight w:val="none"/>
              </w:rPr>
            </w:pPr>
          </w:p>
        </w:tc>
      </w:tr>
      <w:tr w14:paraId="57050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1730C315">
            <w:pPr>
              <w:spacing w:line="280" w:lineRule="exact"/>
              <w:ind w:firstLine="900" w:firstLineChars="500"/>
              <w:rPr>
                <w:rFonts w:cs="Calibri"/>
                <w:bCs/>
                <w:color w:val="auto"/>
                <w:sz w:val="18"/>
                <w:szCs w:val="24"/>
                <w:highlight w:val="none"/>
              </w:rPr>
            </w:pPr>
            <w:r>
              <w:rPr>
                <w:rFonts w:cs="Calibri"/>
                <w:bCs/>
                <w:color w:val="auto"/>
                <w:sz w:val="18"/>
                <w:szCs w:val="24"/>
                <w:highlight w:val="none"/>
              </w:rPr>
              <w:t>所得税</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10D763DC">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04F156B1">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QC16</w:t>
            </w:r>
          </w:p>
        </w:tc>
        <w:tc>
          <w:tcPr>
            <w:tcW w:w="1481" w:type="dxa"/>
            <w:tcBorders>
              <w:top w:val="single" w:color="auto" w:sz="4" w:space="0"/>
              <w:left w:val="single" w:color="auto" w:sz="4" w:space="0"/>
              <w:bottom w:val="single" w:color="auto" w:sz="4" w:space="0"/>
              <w:right w:val="nil"/>
            </w:tcBorders>
            <w:noWrap w:val="0"/>
            <w:vAlign w:val="top"/>
          </w:tcPr>
          <w:p w14:paraId="2B198FA5">
            <w:pPr>
              <w:spacing w:line="280" w:lineRule="exact"/>
              <w:ind w:left="-1" w:leftChars="-25" w:right="-78" w:rightChars="-37" w:hanging="52" w:hangingChars="29"/>
              <w:jc w:val="center"/>
              <w:rPr>
                <w:rFonts w:cs="Calibri"/>
                <w:bCs/>
                <w:color w:val="auto"/>
                <w:sz w:val="18"/>
                <w:szCs w:val="24"/>
                <w:highlight w:val="none"/>
              </w:rPr>
            </w:pPr>
          </w:p>
        </w:tc>
      </w:tr>
      <w:tr w14:paraId="4EEDD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67F300C0">
            <w:pPr>
              <w:spacing w:line="280" w:lineRule="exact"/>
              <w:jc w:val="left"/>
              <w:rPr>
                <w:rFonts w:cs="Calibri"/>
                <w:bCs/>
                <w:color w:val="auto"/>
                <w:sz w:val="18"/>
                <w:szCs w:val="24"/>
                <w:highlight w:val="none"/>
              </w:rPr>
            </w:pPr>
            <w:r>
              <w:rPr>
                <w:rFonts w:cs="Calibri"/>
                <w:bCs/>
                <w:color w:val="auto"/>
                <w:sz w:val="18"/>
                <w:szCs w:val="24"/>
                <w:highlight w:val="none"/>
              </w:rPr>
              <w:t>减免税总额</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17≥</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18＋</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20）</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56E8FDEA">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6B73F73D">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QC17</w:t>
            </w:r>
          </w:p>
        </w:tc>
        <w:tc>
          <w:tcPr>
            <w:tcW w:w="1481" w:type="dxa"/>
            <w:tcBorders>
              <w:top w:val="single" w:color="auto" w:sz="4" w:space="0"/>
              <w:left w:val="single" w:color="auto" w:sz="4" w:space="0"/>
              <w:bottom w:val="single" w:color="auto" w:sz="4" w:space="0"/>
              <w:right w:val="nil"/>
            </w:tcBorders>
            <w:noWrap w:val="0"/>
            <w:vAlign w:val="top"/>
          </w:tcPr>
          <w:p w14:paraId="0E5C95DD">
            <w:pPr>
              <w:spacing w:line="280" w:lineRule="exact"/>
              <w:ind w:left="-1" w:leftChars="-25" w:right="-78" w:rightChars="-37" w:hanging="52" w:hangingChars="29"/>
              <w:jc w:val="center"/>
              <w:rPr>
                <w:rFonts w:cs="Calibri"/>
                <w:bCs/>
                <w:color w:val="auto"/>
                <w:sz w:val="18"/>
                <w:szCs w:val="24"/>
                <w:highlight w:val="none"/>
              </w:rPr>
            </w:pPr>
          </w:p>
        </w:tc>
      </w:tr>
      <w:tr w14:paraId="5B8DC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48BF9D33">
            <w:pPr>
              <w:ind w:firstLine="360"/>
              <w:jc w:val="left"/>
              <w:rPr>
                <w:rFonts w:ascii="Times New Roman" w:hAnsi="Times New Roman" w:eastAsia="宋体" w:cs="Calibri"/>
                <w:bCs/>
                <w:color w:val="auto"/>
                <w:sz w:val="18"/>
                <w:szCs w:val="24"/>
                <w:highlight w:val="none"/>
              </w:rPr>
            </w:pPr>
            <w:r>
              <w:rPr>
                <w:rFonts w:ascii="Times New Roman" w:hAnsi="Times New Roman" w:eastAsia="宋体" w:cs="Calibri"/>
                <w:bCs/>
                <w:color w:val="auto"/>
                <w:sz w:val="18"/>
                <w:szCs w:val="24"/>
                <w:highlight w:val="none"/>
              </w:rPr>
              <w:t>其中：增值税</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04C33DE6">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4938489F">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QC18</w:t>
            </w:r>
          </w:p>
        </w:tc>
        <w:tc>
          <w:tcPr>
            <w:tcW w:w="1481" w:type="dxa"/>
            <w:tcBorders>
              <w:top w:val="single" w:color="auto" w:sz="4" w:space="0"/>
              <w:left w:val="single" w:color="auto" w:sz="4" w:space="0"/>
              <w:bottom w:val="single" w:color="auto" w:sz="4" w:space="0"/>
              <w:right w:val="nil"/>
            </w:tcBorders>
            <w:noWrap w:val="0"/>
            <w:vAlign w:val="top"/>
          </w:tcPr>
          <w:p w14:paraId="187E0C18">
            <w:pPr>
              <w:spacing w:line="280" w:lineRule="exact"/>
              <w:ind w:left="-1" w:leftChars="-25" w:right="-78" w:rightChars="-37" w:hanging="52" w:hangingChars="29"/>
              <w:jc w:val="center"/>
              <w:rPr>
                <w:rFonts w:cs="Calibri"/>
                <w:bCs/>
                <w:color w:val="auto"/>
                <w:sz w:val="18"/>
                <w:szCs w:val="24"/>
                <w:highlight w:val="none"/>
              </w:rPr>
            </w:pPr>
          </w:p>
        </w:tc>
      </w:tr>
      <w:tr w14:paraId="5EA27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2F01E8F4">
            <w:pPr>
              <w:ind w:firstLine="900" w:firstLineChars="500"/>
              <w:jc w:val="left"/>
              <w:rPr>
                <w:rFonts w:hint="default" w:ascii="Times New Roman" w:hAnsi="Times New Roman" w:eastAsia="宋体" w:cs="Calibri"/>
                <w:bCs/>
                <w:color w:val="auto"/>
                <w:sz w:val="18"/>
                <w:szCs w:val="24"/>
                <w:highlight w:val="none"/>
                <w:lang w:val="en-US" w:eastAsia="zh-CN"/>
              </w:rPr>
            </w:pPr>
            <w:r>
              <w:rPr>
                <w:rFonts w:hint="default" w:ascii="Times New Roman" w:hAnsi="Times New Roman" w:eastAsia="宋体" w:cs="Calibri"/>
                <w:bCs/>
                <w:color w:val="auto"/>
                <w:sz w:val="18"/>
                <w:szCs w:val="24"/>
                <w:highlight w:val="none"/>
                <w:lang w:val="en-US" w:eastAsia="zh-CN"/>
              </w:rPr>
              <w:t>其中：享受先进制造业增值税加计抵减额</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63509A3E">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496D8AB4">
            <w:pPr>
              <w:spacing w:line="280" w:lineRule="exact"/>
              <w:ind w:left="-1" w:leftChars="-25" w:right="-78" w:rightChars="-37" w:hanging="52" w:hangingChars="29"/>
              <w:jc w:val="center"/>
              <w:rPr>
                <w:rFonts w:hint="default" w:eastAsia="宋体" w:cs="Calibri"/>
                <w:bCs/>
                <w:color w:val="auto"/>
                <w:sz w:val="18"/>
                <w:szCs w:val="24"/>
                <w:highlight w:val="none"/>
                <w:lang w:val="en-US" w:eastAsia="zh-CN"/>
              </w:rPr>
            </w:pPr>
            <w:r>
              <w:rPr>
                <w:rFonts w:hint="eastAsia" w:cs="Calibri"/>
                <w:bCs/>
                <w:color w:val="auto"/>
                <w:sz w:val="18"/>
                <w:szCs w:val="24"/>
                <w:highlight w:val="none"/>
                <w:lang w:val="en-US" w:eastAsia="zh-CN"/>
              </w:rPr>
              <w:t>QC18_1</w:t>
            </w:r>
          </w:p>
        </w:tc>
        <w:tc>
          <w:tcPr>
            <w:tcW w:w="1481" w:type="dxa"/>
            <w:tcBorders>
              <w:top w:val="single" w:color="auto" w:sz="4" w:space="0"/>
              <w:left w:val="single" w:color="auto" w:sz="4" w:space="0"/>
              <w:bottom w:val="single" w:color="auto" w:sz="4" w:space="0"/>
              <w:right w:val="nil"/>
            </w:tcBorders>
            <w:noWrap w:val="0"/>
            <w:vAlign w:val="top"/>
          </w:tcPr>
          <w:p w14:paraId="0560A45D">
            <w:pPr>
              <w:spacing w:line="280" w:lineRule="exact"/>
              <w:ind w:left="-1" w:leftChars="-25" w:right="-78" w:rightChars="-37" w:hanging="52" w:hangingChars="29"/>
              <w:jc w:val="center"/>
              <w:rPr>
                <w:rFonts w:cs="Calibri"/>
                <w:bCs/>
                <w:color w:val="auto"/>
                <w:sz w:val="18"/>
                <w:szCs w:val="24"/>
                <w:highlight w:val="none"/>
              </w:rPr>
            </w:pPr>
          </w:p>
        </w:tc>
      </w:tr>
      <w:tr w14:paraId="0E9EA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1922A4F7">
            <w:pPr>
              <w:spacing w:line="280" w:lineRule="exact"/>
              <w:ind w:firstLine="360" w:firstLineChars="200"/>
              <w:jc w:val="left"/>
              <w:rPr>
                <w:rFonts w:cs="Calibri"/>
                <w:bCs/>
                <w:color w:val="auto"/>
                <w:sz w:val="18"/>
                <w:szCs w:val="24"/>
                <w:highlight w:val="none"/>
              </w:rPr>
            </w:pPr>
            <w:r>
              <w:rPr>
                <w:rFonts w:cs="Calibri"/>
                <w:bCs/>
                <w:color w:val="auto"/>
                <w:sz w:val="18"/>
                <w:szCs w:val="24"/>
                <w:highlight w:val="none"/>
              </w:rPr>
              <w:t>其中：所得税</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20≥</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20_1+</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20_2+</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20_3）</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4B91C282">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5C3CED9F">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QC20</w:t>
            </w:r>
          </w:p>
        </w:tc>
        <w:tc>
          <w:tcPr>
            <w:tcW w:w="1481" w:type="dxa"/>
            <w:tcBorders>
              <w:top w:val="single" w:color="auto" w:sz="4" w:space="0"/>
              <w:left w:val="single" w:color="auto" w:sz="4" w:space="0"/>
              <w:bottom w:val="single" w:color="auto" w:sz="4" w:space="0"/>
              <w:right w:val="nil"/>
            </w:tcBorders>
            <w:noWrap w:val="0"/>
            <w:vAlign w:val="top"/>
          </w:tcPr>
          <w:p w14:paraId="6B1E02F2">
            <w:pPr>
              <w:spacing w:line="280" w:lineRule="exact"/>
              <w:ind w:left="-1" w:leftChars="-25" w:right="-78" w:rightChars="-37" w:hanging="52" w:hangingChars="29"/>
              <w:jc w:val="center"/>
              <w:rPr>
                <w:rFonts w:cs="Calibri"/>
                <w:bCs/>
                <w:color w:val="auto"/>
                <w:sz w:val="18"/>
                <w:szCs w:val="24"/>
                <w:highlight w:val="none"/>
              </w:rPr>
            </w:pPr>
          </w:p>
        </w:tc>
      </w:tr>
      <w:tr w14:paraId="062F7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7DD09033">
            <w:pPr>
              <w:spacing w:line="280" w:lineRule="exact"/>
              <w:ind w:firstLine="900" w:firstLineChars="500"/>
              <w:jc w:val="left"/>
              <w:rPr>
                <w:rFonts w:cs="Calibri"/>
                <w:bCs/>
                <w:color w:val="auto"/>
                <w:sz w:val="18"/>
                <w:szCs w:val="24"/>
                <w:highlight w:val="none"/>
              </w:rPr>
            </w:pPr>
            <w:r>
              <w:rPr>
                <w:rFonts w:cs="Calibri"/>
                <w:bCs/>
                <w:color w:val="auto"/>
                <w:sz w:val="18"/>
                <w:szCs w:val="24"/>
                <w:highlight w:val="none"/>
              </w:rPr>
              <w:t>其中：享受高新技术企业所得税减免</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374B384D">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34B5B9B6">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QC20_1</w:t>
            </w:r>
          </w:p>
        </w:tc>
        <w:tc>
          <w:tcPr>
            <w:tcW w:w="1481" w:type="dxa"/>
            <w:tcBorders>
              <w:top w:val="single" w:color="auto" w:sz="4" w:space="0"/>
              <w:left w:val="single" w:color="auto" w:sz="4" w:space="0"/>
              <w:bottom w:val="single" w:color="auto" w:sz="4" w:space="0"/>
              <w:right w:val="nil"/>
            </w:tcBorders>
            <w:noWrap w:val="0"/>
            <w:vAlign w:val="top"/>
          </w:tcPr>
          <w:p w14:paraId="42327F2A">
            <w:pPr>
              <w:spacing w:line="280" w:lineRule="exact"/>
              <w:ind w:left="-1" w:leftChars="-25" w:right="-78" w:rightChars="-37" w:hanging="52" w:hangingChars="29"/>
              <w:jc w:val="center"/>
              <w:rPr>
                <w:rFonts w:cs="Calibri"/>
                <w:bCs/>
                <w:color w:val="auto"/>
                <w:sz w:val="18"/>
                <w:szCs w:val="24"/>
                <w:highlight w:val="none"/>
              </w:rPr>
            </w:pPr>
          </w:p>
        </w:tc>
      </w:tr>
      <w:tr w14:paraId="2FEE1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770A1831">
            <w:pPr>
              <w:spacing w:line="280" w:lineRule="exact"/>
              <w:ind w:firstLine="1440" w:firstLineChars="800"/>
              <w:jc w:val="left"/>
              <w:rPr>
                <w:rFonts w:cs="Calibri"/>
                <w:bCs/>
                <w:color w:val="auto"/>
                <w:sz w:val="18"/>
                <w:szCs w:val="24"/>
                <w:highlight w:val="none"/>
              </w:rPr>
            </w:pPr>
            <w:r>
              <w:rPr>
                <w:rFonts w:hint="eastAsia" w:cs="Calibri"/>
                <w:bCs/>
                <w:color w:val="auto"/>
                <w:sz w:val="18"/>
                <w:szCs w:val="24"/>
                <w:highlight w:val="none"/>
                <w:lang w:eastAsia="zh-CN"/>
              </w:rPr>
              <w:t>享受</w:t>
            </w:r>
            <w:r>
              <w:rPr>
                <w:rFonts w:hint="eastAsia" w:cs="Calibri"/>
                <w:bCs/>
                <w:color w:val="auto"/>
                <w:sz w:val="18"/>
                <w:szCs w:val="24"/>
                <w:highlight w:val="none"/>
              </w:rPr>
              <w:t>研发加计扣除所得税减免</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0025DB8A">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01C97F42">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QC20_2</w:t>
            </w:r>
          </w:p>
        </w:tc>
        <w:tc>
          <w:tcPr>
            <w:tcW w:w="1481" w:type="dxa"/>
            <w:tcBorders>
              <w:top w:val="single" w:color="auto" w:sz="4" w:space="0"/>
              <w:left w:val="single" w:color="auto" w:sz="4" w:space="0"/>
              <w:bottom w:val="single" w:color="auto" w:sz="4" w:space="0"/>
              <w:right w:val="nil"/>
            </w:tcBorders>
            <w:noWrap w:val="0"/>
            <w:vAlign w:val="top"/>
          </w:tcPr>
          <w:p w14:paraId="54D94CFF">
            <w:pPr>
              <w:spacing w:line="280" w:lineRule="exact"/>
              <w:ind w:left="-1" w:leftChars="-25" w:right="-78" w:rightChars="-37" w:hanging="52" w:hangingChars="29"/>
              <w:jc w:val="center"/>
              <w:rPr>
                <w:rFonts w:cs="Calibri"/>
                <w:bCs/>
                <w:color w:val="auto"/>
                <w:sz w:val="18"/>
                <w:szCs w:val="24"/>
                <w:highlight w:val="none"/>
              </w:rPr>
            </w:pPr>
          </w:p>
        </w:tc>
      </w:tr>
      <w:tr w14:paraId="096F8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6A462B5F">
            <w:pPr>
              <w:spacing w:line="280" w:lineRule="exact"/>
              <w:ind w:firstLine="1440" w:firstLineChars="800"/>
              <w:jc w:val="left"/>
              <w:rPr>
                <w:rFonts w:cs="Calibri"/>
                <w:bCs/>
                <w:color w:val="auto"/>
                <w:sz w:val="18"/>
                <w:szCs w:val="24"/>
                <w:highlight w:val="none"/>
              </w:rPr>
            </w:pPr>
            <w:r>
              <w:rPr>
                <w:rFonts w:hint="eastAsia" w:cs="Calibri"/>
                <w:bCs/>
                <w:color w:val="auto"/>
                <w:sz w:val="18"/>
                <w:szCs w:val="24"/>
                <w:highlight w:val="none"/>
                <w:lang w:eastAsia="zh-CN"/>
              </w:rPr>
              <w:t>享受</w:t>
            </w:r>
            <w:r>
              <w:rPr>
                <w:rFonts w:cs="Calibri"/>
                <w:bCs/>
                <w:color w:val="auto"/>
                <w:sz w:val="18"/>
                <w:szCs w:val="24"/>
                <w:highlight w:val="none"/>
              </w:rPr>
              <w:t>技术转让所得税减免</w:t>
            </w:r>
          </w:p>
        </w:tc>
        <w:tc>
          <w:tcPr>
            <w:tcW w:w="1419" w:type="dxa"/>
            <w:tcBorders>
              <w:top w:val="single" w:color="auto" w:sz="4" w:space="0"/>
              <w:left w:val="single" w:color="auto" w:sz="2" w:space="0"/>
              <w:bottom w:val="single" w:color="auto" w:sz="4" w:space="0"/>
              <w:right w:val="single" w:color="auto" w:sz="2" w:space="0"/>
            </w:tcBorders>
            <w:noWrap w:val="0"/>
            <w:vAlign w:val="top"/>
          </w:tcPr>
          <w:p w14:paraId="4D60A6B2">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72F9BD79">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QC20_3</w:t>
            </w:r>
          </w:p>
        </w:tc>
        <w:tc>
          <w:tcPr>
            <w:tcW w:w="1481" w:type="dxa"/>
            <w:tcBorders>
              <w:top w:val="single" w:color="auto" w:sz="4" w:space="0"/>
              <w:left w:val="single" w:color="auto" w:sz="4" w:space="0"/>
              <w:bottom w:val="single" w:color="auto" w:sz="4" w:space="0"/>
              <w:right w:val="nil"/>
            </w:tcBorders>
            <w:noWrap w:val="0"/>
            <w:vAlign w:val="center"/>
          </w:tcPr>
          <w:p w14:paraId="7CB546AA">
            <w:pPr>
              <w:spacing w:line="280" w:lineRule="exact"/>
              <w:ind w:left="-1" w:leftChars="-25" w:right="-78" w:rightChars="-37" w:hanging="52" w:hangingChars="29"/>
              <w:jc w:val="center"/>
              <w:rPr>
                <w:rFonts w:cs="Calibri"/>
                <w:bCs/>
                <w:color w:val="auto"/>
                <w:sz w:val="18"/>
                <w:szCs w:val="24"/>
                <w:highlight w:val="none"/>
              </w:rPr>
            </w:pPr>
          </w:p>
        </w:tc>
      </w:tr>
      <w:tr w14:paraId="28BE8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7DDB62F7">
            <w:pPr>
              <w:spacing w:line="280" w:lineRule="exact"/>
              <w:rPr>
                <w:rFonts w:cs="Calibri"/>
                <w:bCs/>
                <w:color w:val="auto"/>
                <w:sz w:val="18"/>
                <w:szCs w:val="24"/>
                <w:highlight w:val="none"/>
              </w:rPr>
            </w:pPr>
            <w:r>
              <w:rPr>
                <w:rFonts w:cs="Calibri"/>
                <w:bCs/>
                <w:color w:val="auto"/>
                <w:sz w:val="18"/>
                <w:szCs w:val="24"/>
                <w:highlight w:val="none"/>
              </w:rPr>
              <w:t>应交增值税</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0307E333">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4FD4C706">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QC62</w:t>
            </w:r>
          </w:p>
        </w:tc>
        <w:tc>
          <w:tcPr>
            <w:tcW w:w="1481" w:type="dxa"/>
            <w:tcBorders>
              <w:top w:val="single" w:color="auto" w:sz="4" w:space="0"/>
              <w:left w:val="single" w:color="auto" w:sz="4" w:space="0"/>
              <w:bottom w:val="single" w:color="auto" w:sz="4" w:space="0"/>
              <w:right w:val="nil"/>
            </w:tcBorders>
            <w:noWrap w:val="0"/>
            <w:vAlign w:val="center"/>
          </w:tcPr>
          <w:p w14:paraId="01CE155C">
            <w:pPr>
              <w:spacing w:line="280" w:lineRule="exact"/>
              <w:ind w:left="-1" w:leftChars="-25" w:right="-78" w:rightChars="-37" w:hanging="52" w:hangingChars="29"/>
              <w:jc w:val="center"/>
              <w:rPr>
                <w:rFonts w:cs="Calibri"/>
                <w:bCs/>
                <w:color w:val="auto"/>
                <w:sz w:val="18"/>
                <w:szCs w:val="24"/>
                <w:highlight w:val="none"/>
              </w:rPr>
            </w:pPr>
          </w:p>
        </w:tc>
      </w:tr>
      <w:tr w14:paraId="4E4C6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5E7BE94D">
            <w:pPr>
              <w:spacing w:line="280" w:lineRule="exact"/>
              <w:rPr>
                <w:rFonts w:cs="Calibri"/>
                <w:bCs/>
                <w:color w:val="auto"/>
                <w:sz w:val="18"/>
                <w:szCs w:val="24"/>
                <w:highlight w:val="none"/>
              </w:rPr>
            </w:pPr>
            <w:r>
              <w:rPr>
                <w:rFonts w:cs="Calibri"/>
                <w:bCs/>
                <w:color w:val="auto"/>
                <w:sz w:val="18"/>
                <w:szCs w:val="24"/>
                <w:highlight w:val="none"/>
              </w:rPr>
              <w:t>本年应付职工薪酬（本年贷方累计发生额）</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5F1B472C">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71A9A7E4">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QC51</w:t>
            </w:r>
          </w:p>
        </w:tc>
        <w:tc>
          <w:tcPr>
            <w:tcW w:w="1481" w:type="dxa"/>
            <w:tcBorders>
              <w:top w:val="single" w:color="auto" w:sz="4" w:space="0"/>
              <w:left w:val="single" w:color="auto" w:sz="4" w:space="0"/>
              <w:bottom w:val="single" w:color="auto" w:sz="4" w:space="0"/>
              <w:right w:val="nil"/>
            </w:tcBorders>
            <w:noWrap w:val="0"/>
            <w:vAlign w:val="center"/>
          </w:tcPr>
          <w:p w14:paraId="06622F17">
            <w:pPr>
              <w:spacing w:line="280" w:lineRule="exact"/>
              <w:ind w:left="-1" w:leftChars="-25" w:right="-78" w:rightChars="-37" w:hanging="52" w:hangingChars="29"/>
              <w:jc w:val="center"/>
              <w:rPr>
                <w:rFonts w:cs="Calibri"/>
                <w:bCs/>
                <w:color w:val="auto"/>
                <w:sz w:val="18"/>
                <w:szCs w:val="24"/>
                <w:highlight w:val="none"/>
              </w:rPr>
            </w:pPr>
          </w:p>
        </w:tc>
      </w:tr>
      <w:tr w14:paraId="0A4A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3C5EACF5">
            <w:pPr>
              <w:spacing w:line="280" w:lineRule="exact"/>
              <w:rPr>
                <w:rFonts w:cs="Calibri"/>
                <w:bCs/>
                <w:color w:val="auto"/>
                <w:sz w:val="18"/>
                <w:szCs w:val="24"/>
                <w:highlight w:val="none"/>
              </w:rPr>
            </w:pPr>
            <w:r>
              <w:rPr>
                <w:rFonts w:cs="Calibri"/>
                <w:bCs/>
                <w:color w:val="auto"/>
                <w:sz w:val="18"/>
                <w:szCs w:val="24"/>
                <w:highlight w:val="none"/>
              </w:rPr>
              <w:t>资产总计</w:t>
            </w:r>
            <w:r>
              <w:rPr>
                <w:rFonts w:hint="eastAsia" w:ascii="Times New Roman" w:hAnsi="Times New Roman" w:eastAsia="宋体" w:cs="Times New Roman"/>
                <w:bCs/>
                <w:color w:val="auto"/>
                <w:sz w:val="18"/>
                <w:szCs w:val="18"/>
                <w:highlight w:val="none"/>
                <w:lang w:eastAsia="zh-CN"/>
              </w:rPr>
              <w:t>（</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24=</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25+</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27_1</w:t>
            </w:r>
            <w:r>
              <w:rPr>
                <w:rFonts w:hint="eastAsia" w:ascii="Times New Roman" w:hAnsi="Times New Roman" w:eastAsia="宋体" w:cs="Times New Roman"/>
                <w:bCs/>
                <w:color w:val="auto"/>
                <w:sz w:val="18"/>
                <w:szCs w:val="18"/>
                <w:highlight w:val="none"/>
                <w:lang w:eastAsia="zh-CN"/>
              </w:rPr>
              <w:t>）</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04753165">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67B22EC2">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QC24</w:t>
            </w:r>
          </w:p>
        </w:tc>
        <w:tc>
          <w:tcPr>
            <w:tcW w:w="1481" w:type="dxa"/>
            <w:tcBorders>
              <w:top w:val="single" w:color="auto" w:sz="4" w:space="0"/>
              <w:left w:val="single" w:color="auto" w:sz="4" w:space="0"/>
              <w:bottom w:val="single" w:color="auto" w:sz="4" w:space="0"/>
              <w:right w:val="nil"/>
            </w:tcBorders>
            <w:noWrap w:val="0"/>
            <w:vAlign w:val="center"/>
          </w:tcPr>
          <w:p w14:paraId="6C007F8D">
            <w:pPr>
              <w:spacing w:line="280" w:lineRule="exact"/>
              <w:ind w:left="-1" w:leftChars="-25" w:right="-78" w:rightChars="-37" w:hanging="52" w:hangingChars="29"/>
              <w:jc w:val="center"/>
              <w:rPr>
                <w:rFonts w:cs="Calibri"/>
                <w:bCs/>
                <w:color w:val="auto"/>
                <w:sz w:val="18"/>
                <w:szCs w:val="24"/>
                <w:highlight w:val="none"/>
              </w:rPr>
            </w:pPr>
          </w:p>
        </w:tc>
      </w:tr>
      <w:tr w14:paraId="6DE56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24310A8D">
            <w:pPr>
              <w:spacing w:line="280" w:lineRule="exact"/>
              <w:ind w:firstLine="360"/>
              <w:rPr>
                <w:rFonts w:cs="Calibri"/>
                <w:bCs/>
                <w:color w:val="auto"/>
                <w:sz w:val="18"/>
                <w:szCs w:val="24"/>
                <w:highlight w:val="none"/>
              </w:rPr>
            </w:pPr>
            <w:r>
              <w:rPr>
                <w:rFonts w:cs="Calibri"/>
                <w:bCs/>
                <w:color w:val="auto"/>
                <w:sz w:val="18"/>
                <w:szCs w:val="24"/>
                <w:highlight w:val="none"/>
              </w:rPr>
              <w:t>其中：流动资产合计</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19B40E4E">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4EE8EE02">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QC25</w:t>
            </w:r>
          </w:p>
        </w:tc>
        <w:tc>
          <w:tcPr>
            <w:tcW w:w="1481" w:type="dxa"/>
            <w:tcBorders>
              <w:top w:val="single" w:color="auto" w:sz="4" w:space="0"/>
              <w:left w:val="single" w:color="auto" w:sz="4" w:space="0"/>
              <w:bottom w:val="single" w:color="auto" w:sz="4" w:space="0"/>
              <w:right w:val="nil"/>
            </w:tcBorders>
            <w:noWrap w:val="0"/>
            <w:vAlign w:val="center"/>
          </w:tcPr>
          <w:p w14:paraId="3C5B6BCC">
            <w:pPr>
              <w:spacing w:line="280" w:lineRule="exact"/>
              <w:ind w:left="-1" w:leftChars="-25" w:right="-78" w:rightChars="-37" w:hanging="52" w:hangingChars="29"/>
              <w:jc w:val="center"/>
              <w:rPr>
                <w:rFonts w:cs="Calibri"/>
                <w:bCs/>
                <w:color w:val="auto"/>
                <w:sz w:val="18"/>
                <w:szCs w:val="24"/>
                <w:highlight w:val="none"/>
              </w:rPr>
            </w:pPr>
          </w:p>
        </w:tc>
      </w:tr>
      <w:tr w14:paraId="7BC1D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5DE80DFA">
            <w:pPr>
              <w:spacing w:line="280" w:lineRule="exact"/>
              <w:ind w:firstLine="900" w:firstLineChars="500"/>
              <w:rPr>
                <w:rFonts w:cs="Calibri"/>
                <w:bCs/>
                <w:color w:val="auto"/>
                <w:sz w:val="18"/>
                <w:szCs w:val="24"/>
                <w:highlight w:val="none"/>
              </w:rPr>
            </w:pPr>
            <w:r>
              <w:rPr>
                <w:rFonts w:cs="Calibri"/>
                <w:bCs/>
                <w:color w:val="auto"/>
                <w:sz w:val="18"/>
                <w:szCs w:val="24"/>
                <w:highlight w:val="none"/>
              </w:rPr>
              <w:t>非流动资产合计</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09616332">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0EF0A3DD">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QC27_1</w:t>
            </w:r>
          </w:p>
        </w:tc>
        <w:tc>
          <w:tcPr>
            <w:tcW w:w="1481" w:type="dxa"/>
            <w:tcBorders>
              <w:top w:val="single" w:color="auto" w:sz="4" w:space="0"/>
              <w:left w:val="single" w:color="auto" w:sz="4" w:space="0"/>
              <w:bottom w:val="single" w:color="auto" w:sz="4" w:space="0"/>
              <w:right w:val="nil"/>
            </w:tcBorders>
            <w:noWrap w:val="0"/>
            <w:vAlign w:val="center"/>
          </w:tcPr>
          <w:p w14:paraId="7E4764F9">
            <w:pPr>
              <w:spacing w:line="280" w:lineRule="exact"/>
              <w:ind w:left="-1" w:leftChars="-25" w:right="-78" w:rightChars="-37" w:hanging="52" w:hangingChars="29"/>
              <w:jc w:val="center"/>
              <w:rPr>
                <w:rFonts w:cs="Calibri"/>
                <w:bCs/>
                <w:color w:val="auto"/>
                <w:sz w:val="18"/>
                <w:szCs w:val="24"/>
                <w:highlight w:val="none"/>
              </w:rPr>
            </w:pPr>
          </w:p>
        </w:tc>
      </w:tr>
      <w:tr w14:paraId="3F26D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534A7575">
            <w:pPr>
              <w:spacing w:line="280" w:lineRule="exact"/>
              <w:ind w:firstLine="900" w:firstLineChars="500"/>
              <w:rPr>
                <w:rFonts w:cs="Calibri"/>
                <w:bCs/>
                <w:color w:val="auto"/>
                <w:sz w:val="18"/>
                <w:szCs w:val="24"/>
                <w:highlight w:val="none"/>
              </w:rPr>
            </w:pPr>
            <w:r>
              <w:rPr>
                <w:rFonts w:cs="Calibri"/>
                <w:bCs/>
                <w:color w:val="auto"/>
                <w:sz w:val="18"/>
                <w:szCs w:val="24"/>
                <w:highlight w:val="none"/>
              </w:rPr>
              <w:t>其中：开发支出</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7C8F494B">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5CDA9FB8">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QC238</w:t>
            </w:r>
          </w:p>
        </w:tc>
        <w:tc>
          <w:tcPr>
            <w:tcW w:w="1481" w:type="dxa"/>
            <w:tcBorders>
              <w:top w:val="single" w:color="auto" w:sz="4" w:space="0"/>
              <w:left w:val="single" w:color="auto" w:sz="4" w:space="0"/>
              <w:bottom w:val="single" w:color="auto" w:sz="4" w:space="0"/>
              <w:right w:val="nil"/>
            </w:tcBorders>
            <w:noWrap w:val="0"/>
            <w:vAlign w:val="center"/>
          </w:tcPr>
          <w:p w14:paraId="228006D1">
            <w:pPr>
              <w:spacing w:line="280" w:lineRule="exact"/>
              <w:ind w:left="-1" w:leftChars="-25" w:right="-78" w:rightChars="-37" w:hanging="52" w:hangingChars="29"/>
              <w:jc w:val="center"/>
              <w:rPr>
                <w:rFonts w:cs="Calibri"/>
                <w:bCs/>
                <w:color w:val="auto"/>
                <w:sz w:val="18"/>
                <w:szCs w:val="24"/>
                <w:highlight w:val="none"/>
              </w:rPr>
            </w:pPr>
          </w:p>
        </w:tc>
      </w:tr>
      <w:tr w14:paraId="40602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556A3FCF">
            <w:pPr>
              <w:spacing w:line="280" w:lineRule="exact"/>
              <w:ind w:firstLine="900" w:firstLineChars="500"/>
              <w:rPr>
                <w:rFonts w:cs="Calibri"/>
                <w:bCs/>
                <w:color w:val="auto"/>
                <w:sz w:val="18"/>
                <w:szCs w:val="24"/>
                <w:highlight w:val="none"/>
              </w:rPr>
            </w:pPr>
            <w:r>
              <w:rPr>
                <w:rFonts w:cs="Calibri"/>
                <w:bCs/>
                <w:color w:val="auto"/>
                <w:sz w:val="18"/>
                <w:szCs w:val="24"/>
                <w:highlight w:val="none"/>
              </w:rPr>
              <w:t>其中：固定资产净值</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0CF69B19">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1CD530EE">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QC29</w:t>
            </w:r>
          </w:p>
        </w:tc>
        <w:tc>
          <w:tcPr>
            <w:tcW w:w="1481" w:type="dxa"/>
            <w:tcBorders>
              <w:top w:val="single" w:color="auto" w:sz="4" w:space="0"/>
              <w:left w:val="single" w:color="auto" w:sz="4" w:space="0"/>
              <w:bottom w:val="single" w:color="auto" w:sz="4" w:space="0"/>
              <w:right w:val="nil"/>
            </w:tcBorders>
            <w:noWrap w:val="0"/>
            <w:vAlign w:val="center"/>
          </w:tcPr>
          <w:p w14:paraId="12834179">
            <w:pPr>
              <w:spacing w:line="280" w:lineRule="exact"/>
              <w:ind w:left="-1" w:leftChars="-25" w:right="-78" w:rightChars="-37" w:hanging="52" w:hangingChars="29"/>
              <w:jc w:val="center"/>
              <w:rPr>
                <w:rFonts w:cs="Calibri"/>
                <w:bCs/>
                <w:color w:val="auto"/>
                <w:sz w:val="18"/>
                <w:szCs w:val="24"/>
                <w:highlight w:val="none"/>
              </w:rPr>
            </w:pPr>
          </w:p>
        </w:tc>
      </w:tr>
      <w:tr w14:paraId="586D7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0F60A5CB">
            <w:pPr>
              <w:spacing w:line="280" w:lineRule="exact"/>
              <w:ind w:firstLine="1440" w:firstLineChars="800"/>
              <w:rPr>
                <w:bCs/>
                <w:color w:val="auto"/>
                <w:sz w:val="18"/>
                <w:szCs w:val="24"/>
                <w:highlight w:val="none"/>
              </w:rPr>
            </w:pPr>
            <w:r>
              <w:rPr>
                <w:bCs/>
                <w:color w:val="auto"/>
                <w:sz w:val="18"/>
                <w:szCs w:val="24"/>
                <w:highlight w:val="none"/>
              </w:rPr>
              <w:t>无形资产</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452C434C">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532DB1AA">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QC30</w:t>
            </w:r>
          </w:p>
        </w:tc>
        <w:tc>
          <w:tcPr>
            <w:tcW w:w="1481" w:type="dxa"/>
            <w:tcBorders>
              <w:top w:val="single" w:color="auto" w:sz="4" w:space="0"/>
              <w:left w:val="single" w:color="auto" w:sz="4" w:space="0"/>
              <w:bottom w:val="single" w:color="auto" w:sz="4" w:space="0"/>
              <w:right w:val="nil"/>
            </w:tcBorders>
            <w:noWrap w:val="0"/>
            <w:vAlign w:val="center"/>
          </w:tcPr>
          <w:p w14:paraId="2E0FCE89">
            <w:pPr>
              <w:spacing w:line="280" w:lineRule="exact"/>
              <w:ind w:left="-1" w:leftChars="-25" w:right="-78" w:rightChars="-37" w:hanging="52" w:hangingChars="29"/>
              <w:jc w:val="center"/>
              <w:rPr>
                <w:rFonts w:cs="Calibri"/>
                <w:bCs/>
                <w:color w:val="auto"/>
                <w:sz w:val="18"/>
                <w:szCs w:val="24"/>
                <w:highlight w:val="none"/>
              </w:rPr>
            </w:pPr>
          </w:p>
        </w:tc>
      </w:tr>
      <w:tr w14:paraId="1B840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26E3C2E7">
            <w:pPr>
              <w:spacing w:line="280" w:lineRule="exact"/>
              <w:ind w:firstLine="360" w:firstLineChars="200"/>
              <w:rPr>
                <w:bCs/>
                <w:color w:val="auto"/>
                <w:sz w:val="18"/>
                <w:szCs w:val="24"/>
                <w:highlight w:val="none"/>
              </w:rPr>
            </w:pPr>
            <w:r>
              <w:rPr>
                <w:bCs/>
                <w:color w:val="auto"/>
                <w:sz w:val="18"/>
                <w:szCs w:val="24"/>
                <w:highlight w:val="none"/>
              </w:rPr>
              <w:t>其中：累计折旧</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197B538B">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15F2DE64">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QC65</w:t>
            </w:r>
          </w:p>
        </w:tc>
        <w:tc>
          <w:tcPr>
            <w:tcW w:w="1481" w:type="dxa"/>
            <w:tcBorders>
              <w:top w:val="single" w:color="auto" w:sz="4" w:space="0"/>
              <w:left w:val="single" w:color="auto" w:sz="4" w:space="0"/>
              <w:bottom w:val="single" w:color="auto" w:sz="4" w:space="0"/>
              <w:right w:val="nil"/>
            </w:tcBorders>
            <w:noWrap w:val="0"/>
            <w:vAlign w:val="center"/>
          </w:tcPr>
          <w:p w14:paraId="45E5C218">
            <w:pPr>
              <w:spacing w:line="280" w:lineRule="exact"/>
              <w:ind w:left="-1" w:leftChars="-25" w:right="-78" w:rightChars="-37" w:hanging="52" w:hangingChars="29"/>
              <w:jc w:val="center"/>
              <w:rPr>
                <w:rFonts w:cs="Calibri"/>
                <w:bCs/>
                <w:color w:val="auto"/>
                <w:sz w:val="18"/>
                <w:szCs w:val="24"/>
                <w:highlight w:val="none"/>
              </w:rPr>
            </w:pPr>
          </w:p>
        </w:tc>
      </w:tr>
      <w:tr w14:paraId="452BF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0D48F636">
            <w:pPr>
              <w:spacing w:line="280" w:lineRule="exact"/>
              <w:ind w:firstLine="900" w:firstLineChars="500"/>
              <w:rPr>
                <w:bCs/>
                <w:color w:val="auto"/>
                <w:sz w:val="18"/>
                <w:szCs w:val="24"/>
                <w:highlight w:val="none"/>
              </w:rPr>
            </w:pPr>
            <w:r>
              <w:rPr>
                <w:bCs/>
                <w:color w:val="auto"/>
                <w:sz w:val="18"/>
                <w:szCs w:val="24"/>
                <w:highlight w:val="none"/>
              </w:rPr>
              <w:t>其中：本年折旧</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3F41D284">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5451197B">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QC61</w:t>
            </w:r>
          </w:p>
        </w:tc>
        <w:tc>
          <w:tcPr>
            <w:tcW w:w="1481" w:type="dxa"/>
            <w:tcBorders>
              <w:top w:val="single" w:color="auto" w:sz="4" w:space="0"/>
              <w:left w:val="single" w:color="auto" w:sz="4" w:space="0"/>
              <w:bottom w:val="single" w:color="auto" w:sz="4" w:space="0"/>
              <w:right w:val="nil"/>
            </w:tcBorders>
            <w:noWrap w:val="0"/>
            <w:vAlign w:val="center"/>
          </w:tcPr>
          <w:p w14:paraId="3D505E9F">
            <w:pPr>
              <w:spacing w:line="280" w:lineRule="exact"/>
              <w:ind w:left="-1" w:leftChars="-25" w:right="-78" w:rightChars="-37" w:hanging="52" w:hangingChars="29"/>
              <w:jc w:val="center"/>
              <w:rPr>
                <w:rFonts w:cs="Calibri"/>
                <w:bCs/>
                <w:color w:val="auto"/>
                <w:sz w:val="18"/>
                <w:szCs w:val="24"/>
                <w:highlight w:val="none"/>
              </w:rPr>
            </w:pPr>
          </w:p>
        </w:tc>
      </w:tr>
      <w:tr w14:paraId="73562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3894342C">
            <w:pPr>
              <w:spacing w:line="280" w:lineRule="exact"/>
              <w:rPr>
                <w:bCs/>
                <w:color w:val="auto"/>
                <w:sz w:val="18"/>
                <w:szCs w:val="24"/>
                <w:highlight w:val="none"/>
              </w:rPr>
            </w:pPr>
            <w:r>
              <w:rPr>
                <w:bCs/>
                <w:color w:val="auto"/>
                <w:sz w:val="18"/>
                <w:szCs w:val="24"/>
                <w:highlight w:val="none"/>
              </w:rPr>
              <w:t>流动负债合计</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356E489B">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4A892C4A">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QC237</w:t>
            </w:r>
          </w:p>
        </w:tc>
        <w:tc>
          <w:tcPr>
            <w:tcW w:w="1481" w:type="dxa"/>
            <w:tcBorders>
              <w:top w:val="single" w:color="auto" w:sz="4" w:space="0"/>
              <w:left w:val="single" w:color="auto" w:sz="4" w:space="0"/>
              <w:bottom w:val="single" w:color="auto" w:sz="4" w:space="0"/>
              <w:right w:val="nil"/>
            </w:tcBorders>
            <w:noWrap w:val="0"/>
            <w:vAlign w:val="center"/>
          </w:tcPr>
          <w:p w14:paraId="48BB07B1">
            <w:pPr>
              <w:spacing w:line="280" w:lineRule="exact"/>
              <w:ind w:left="-1" w:leftChars="-25" w:right="-78" w:rightChars="-37" w:hanging="52" w:hangingChars="29"/>
              <w:jc w:val="center"/>
              <w:rPr>
                <w:rFonts w:cs="Calibri"/>
                <w:bCs/>
                <w:color w:val="auto"/>
                <w:sz w:val="18"/>
                <w:szCs w:val="24"/>
                <w:highlight w:val="none"/>
              </w:rPr>
            </w:pPr>
          </w:p>
        </w:tc>
      </w:tr>
      <w:tr w14:paraId="0C44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1117A6A8">
            <w:pPr>
              <w:spacing w:line="280" w:lineRule="exact"/>
              <w:rPr>
                <w:bCs/>
                <w:color w:val="auto"/>
                <w:sz w:val="18"/>
                <w:szCs w:val="24"/>
                <w:highlight w:val="none"/>
              </w:rPr>
            </w:pPr>
            <w:r>
              <w:rPr>
                <w:bCs/>
                <w:color w:val="auto"/>
                <w:sz w:val="18"/>
                <w:szCs w:val="24"/>
                <w:highlight w:val="none"/>
              </w:rPr>
              <w:t>年末负债合计</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4FD3ABEE">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68AC1B4B">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QC31</w:t>
            </w:r>
          </w:p>
        </w:tc>
        <w:tc>
          <w:tcPr>
            <w:tcW w:w="1481" w:type="dxa"/>
            <w:tcBorders>
              <w:top w:val="single" w:color="auto" w:sz="4" w:space="0"/>
              <w:left w:val="single" w:color="auto" w:sz="4" w:space="0"/>
              <w:bottom w:val="single" w:color="auto" w:sz="4" w:space="0"/>
              <w:right w:val="nil"/>
            </w:tcBorders>
            <w:noWrap w:val="0"/>
            <w:vAlign w:val="center"/>
          </w:tcPr>
          <w:p w14:paraId="1641D57A">
            <w:pPr>
              <w:spacing w:line="280" w:lineRule="exact"/>
              <w:ind w:left="-1" w:leftChars="-25" w:right="-78" w:rightChars="-37" w:hanging="52" w:hangingChars="29"/>
              <w:jc w:val="center"/>
              <w:rPr>
                <w:rFonts w:cs="Calibri"/>
                <w:bCs/>
                <w:color w:val="auto"/>
                <w:sz w:val="18"/>
                <w:szCs w:val="24"/>
                <w:highlight w:val="none"/>
              </w:rPr>
            </w:pPr>
          </w:p>
        </w:tc>
      </w:tr>
      <w:tr w14:paraId="3D653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4" w:space="0"/>
            </w:tcBorders>
            <w:noWrap w:val="0"/>
            <w:vAlign w:val="center"/>
          </w:tcPr>
          <w:p w14:paraId="32CFF079">
            <w:pPr>
              <w:spacing w:line="280" w:lineRule="exact"/>
              <w:ind w:firstLine="360" w:firstLineChars="200"/>
              <w:rPr>
                <w:bCs/>
                <w:color w:val="auto"/>
                <w:sz w:val="18"/>
                <w:szCs w:val="24"/>
                <w:highlight w:val="none"/>
              </w:rPr>
            </w:pPr>
            <w:r>
              <w:rPr>
                <w:bCs/>
                <w:color w:val="auto"/>
                <w:sz w:val="18"/>
                <w:szCs w:val="24"/>
                <w:highlight w:val="none"/>
              </w:rPr>
              <w:t>其中：存量银行贷款额</w:t>
            </w:r>
          </w:p>
        </w:tc>
        <w:tc>
          <w:tcPr>
            <w:tcW w:w="1419" w:type="dxa"/>
            <w:tcBorders>
              <w:top w:val="single" w:color="auto" w:sz="4" w:space="0"/>
              <w:left w:val="single" w:color="auto" w:sz="4" w:space="0"/>
              <w:bottom w:val="single" w:color="auto" w:sz="4" w:space="0"/>
              <w:right w:val="single" w:color="auto" w:sz="4" w:space="0"/>
            </w:tcBorders>
            <w:noWrap w:val="0"/>
            <w:vAlign w:val="center"/>
          </w:tcPr>
          <w:p w14:paraId="3B3CBCE3">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4" w:space="0"/>
              <w:bottom w:val="single" w:color="auto" w:sz="4" w:space="0"/>
              <w:right w:val="single" w:color="auto" w:sz="4" w:space="0"/>
            </w:tcBorders>
            <w:noWrap w:val="0"/>
            <w:vAlign w:val="center"/>
          </w:tcPr>
          <w:p w14:paraId="197CC97A">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QC32</w:t>
            </w:r>
          </w:p>
        </w:tc>
        <w:tc>
          <w:tcPr>
            <w:tcW w:w="1481" w:type="dxa"/>
            <w:tcBorders>
              <w:top w:val="single" w:color="auto" w:sz="4" w:space="0"/>
              <w:left w:val="single" w:color="auto" w:sz="4" w:space="0"/>
              <w:bottom w:val="single" w:color="auto" w:sz="4" w:space="0"/>
              <w:right w:val="nil"/>
            </w:tcBorders>
            <w:noWrap w:val="0"/>
            <w:vAlign w:val="center"/>
          </w:tcPr>
          <w:p w14:paraId="2997C4D2">
            <w:pPr>
              <w:spacing w:line="280" w:lineRule="exact"/>
              <w:ind w:left="-1" w:leftChars="-25" w:right="-78" w:rightChars="-37" w:hanging="52" w:hangingChars="29"/>
              <w:jc w:val="center"/>
              <w:rPr>
                <w:rFonts w:cs="Calibri"/>
                <w:bCs/>
                <w:color w:val="auto"/>
                <w:sz w:val="18"/>
                <w:szCs w:val="24"/>
                <w:highlight w:val="none"/>
              </w:rPr>
            </w:pPr>
          </w:p>
        </w:tc>
      </w:tr>
      <w:tr w14:paraId="50984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4" w:space="0"/>
            </w:tcBorders>
            <w:noWrap w:val="0"/>
            <w:vAlign w:val="center"/>
          </w:tcPr>
          <w:p w14:paraId="7410E412">
            <w:pPr>
              <w:spacing w:line="280" w:lineRule="exact"/>
              <w:rPr>
                <w:bCs/>
                <w:color w:val="auto"/>
                <w:sz w:val="18"/>
                <w:szCs w:val="24"/>
                <w:highlight w:val="none"/>
              </w:rPr>
            </w:pPr>
            <w:r>
              <w:rPr>
                <w:bCs/>
                <w:color w:val="auto"/>
                <w:sz w:val="18"/>
                <w:szCs w:val="18"/>
                <w:highlight w:val="none"/>
              </w:rPr>
              <w:t>年末所有者权益（股东权益）</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33＝</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24－</w:t>
            </w:r>
            <w:r>
              <w:rPr>
                <w:rFonts w:cs="Calibri"/>
                <w:bCs/>
                <w:color w:val="auto"/>
                <w:sz w:val="18"/>
                <w:szCs w:val="24"/>
                <w:highlight w:val="none"/>
              </w:rPr>
              <w:t>QC</w:t>
            </w:r>
            <w:r>
              <w:rPr>
                <w:rFonts w:hint="eastAsia" w:ascii="Times New Roman" w:hAnsi="Times New Roman" w:eastAsia="宋体" w:cs="Times New Roman"/>
                <w:bCs/>
                <w:color w:val="auto"/>
                <w:sz w:val="18"/>
                <w:szCs w:val="18"/>
                <w:highlight w:val="none"/>
              </w:rPr>
              <w:t>31）</w:t>
            </w:r>
          </w:p>
        </w:tc>
        <w:tc>
          <w:tcPr>
            <w:tcW w:w="1419" w:type="dxa"/>
            <w:tcBorders>
              <w:top w:val="single" w:color="auto" w:sz="4" w:space="0"/>
              <w:left w:val="single" w:color="auto" w:sz="4" w:space="0"/>
              <w:bottom w:val="single" w:color="auto" w:sz="4" w:space="0"/>
              <w:right w:val="single" w:color="auto" w:sz="4" w:space="0"/>
            </w:tcBorders>
            <w:noWrap w:val="0"/>
            <w:vAlign w:val="center"/>
          </w:tcPr>
          <w:p w14:paraId="7AEA4918">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4" w:space="0"/>
              <w:bottom w:val="single" w:color="auto" w:sz="4" w:space="0"/>
              <w:right w:val="single" w:color="auto" w:sz="4" w:space="0"/>
            </w:tcBorders>
            <w:noWrap w:val="0"/>
            <w:vAlign w:val="center"/>
          </w:tcPr>
          <w:p w14:paraId="7704C9A3">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QC33</w:t>
            </w:r>
          </w:p>
        </w:tc>
        <w:tc>
          <w:tcPr>
            <w:tcW w:w="1481" w:type="dxa"/>
            <w:tcBorders>
              <w:top w:val="single" w:color="auto" w:sz="4" w:space="0"/>
              <w:left w:val="single" w:color="auto" w:sz="4" w:space="0"/>
              <w:bottom w:val="single" w:color="auto" w:sz="4" w:space="0"/>
              <w:right w:val="nil"/>
            </w:tcBorders>
            <w:noWrap w:val="0"/>
            <w:vAlign w:val="center"/>
          </w:tcPr>
          <w:p w14:paraId="508A4967">
            <w:pPr>
              <w:spacing w:line="280" w:lineRule="exact"/>
              <w:ind w:left="-1" w:leftChars="-25" w:right="-78" w:rightChars="-37" w:hanging="52" w:hangingChars="29"/>
              <w:jc w:val="center"/>
              <w:rPr>
                <w:rFonts w:cs="Calibri"/>
                <w:bCs/>
                <w:color w:val="auto"/>
                <w:sz w:val="18"/>
                <w:szCs w:val="24"/>
                <w:highlight w:val="none"/>
              </w:rPr>
            </w:pPr>
          </w:p>
        </w:tc>
      </w:tr>
      <w:tr w14:paraId="3F2A5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8" w:space="0"/>
              <w:right w:val="single" w:color="auto" w:sz="4" w:space="0"/>
            </w:tcBorders>
            <w:noWrap w:val="0"/>
            <w:vAlign w:val="center"/>
          </w:tcPr>
          <w:p w14:paraId="609441EF">
            <w:pPr>
              <w:spacing w:line="280" w:lineRule="exact"/>
              <w:ind w:firstLine="360" w:firstLineChars="200"/>
              <w:rPr>
                <w:bCs/>
                <w:color w:val="auto"/>
                <w:sz w:val="18"/>
                <w:szCs w:val="24"/>
                <w:highlight w:val="none"/>
              </w:rPr>
            </w:pPr>
            <w:r>
              <w:rPr>
                <w:bCs/>
                <w:color w:val="auto"/>
                <w:sz w:val="18"/>
                <w:szCs w:val="18"/>
                <w:highlight w:val="none"/>
              </w:rPr>
              <w:t>其中：实收资本</w:t>
            </w:r>
            <w:r>
              <w:rPr>
                <w:rFonts w:hint="eastAsia"/>
                <w:bCs/>
                <w:color w:val="auto"/>
                <w:spacing w:val="-8"/>
                <w:sz w:val="18"/>
                <w:szCs w:val="18"/>
                <w:highlight w:val="none"/>
                <w:lang w:eastAsia="zh-CN"/>
              </w:rPr>
              <w:t>（</w:t>
            </w:r>
            <w:r>
              <w:rPr>
                <w:bCs/>
                <w:color w:val="auto"/>
                <w:spacing w:val="-8"/>
                <w:sz w:val="18"/>
                <w:szCs w:val="18"/>
                <w:highlight w:val="none"/>
              </w:rPr>
              <w:t>股本</w:t>
            </w:r>
            <w:r>
              <w:rPr>
                <w:rFonts w:hint="eastAsia"/>
                <w:bCs/>
                <w:color w:val="auto"/>
                <w:spacing w:val="-8"/>
                <w:sz w:val="18"/>
                <w:szCs w:val="18"/>
                <w:highlight w:val="none"/>
                <w:lang w:eastAsia="zh-CN"/>
              </w:rPr>
              <w:t>）</w:t>
            </w:r>
          </w:p>
        </w:tc>
        <w:tc>
          <w:tcPr>
            <w:tcW w:w="1419" w:type="dxa"/>
            <w:tcBorders>
              <w:top w:val="single" w:color="auto" w:sz="4" w:space="0"/>
              <w:left w:val="single" w:color="auto" w:sz="4" w:space="0"/>
              <w:bottom w:val="single" w:color="auto" w:sz="8" w:space="0"/>
              <w:right w:val="single" w:color="auto" w:sz="4" w:space="0"/>
            </w:tcBorders>
            <w:noWrap w:val="0"/>
            <w:vAlign w:val="center"/>
          </w:tcPr>
          <w:p w14:paraId="5A2D153A">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4" w:space="0"/>
              <w:bottom w:val="single" w:color="auto" w:sz="8" w:space="0"/>
              <w:right w:val="single" w:color="auto" w:sz="4" w:space="0"/>
            </w:tcBorders>
            <w:noWrap w:val="0"/>
            <w:vAlign w:val="center"/>
          </w:tcPr>
          <w:p w14:paraId="382EC0A6">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QC34</w:t>
            </w:r>
          </w:p>
        </w:tc>
        <w:tc>
          <w:tcPr>
            <w:tcW w:w="1481" w:type="dxa"/>
            <w:tcBorders>
              <w:top w:val="single" w:color="auto" w:sz="4" w:space="0"/>
              <w:left w:val="single" w:color="auto" w:sz="4" w:space="0"/>
              <w:bottom w:val="single" w:color="auto" w:sz="8" w:space="0"/>
              <w:right w:val="nil"/>
            </w:tcBorders>
            <w:noWrap w:val="0"/>
            <w:vAlign w:val="center"/>
          </w:tcPr>
          <w:p w14:paraId="7B7F0E7C">
            <w:pPr>
              <w:spacing w:line="280" w:lineRule="exact"/>
              <w:ind w:left="-1" w:leftChars="-25" w:right="-78" w:rightChars="-37" w:hanging="52" w:hangingChars="29"/>
              <w:jc w:val="center"/>
              <w:rPr>
                <w:rFonts w:cs="Calibri"/>
                <w:bCs/>
                <w:color w:val="auto"/>
                <w:sz w:val="18"/>
                <w:szCs w:val="24"/>
                <w:highlight w:val="none"/>
              </w:rPr>
            </w:pPr>
          </w:p>
        </w:tc>
      </w:tr>
    </w:tbl>
    <w:p w14:paraId="3BFDE7B3">
      <w:pPr>
        <w:rPr>
          <w:color w:val="auto"/>
          <w:highlight w:val="none"/>
        </w:rPr>
      </w:pPr>
    </w:p>
    <w:p w14:paraId="2D396575">
      <w:pPr>
        <w:rPr>
          <w:rFonts w:hint="eastAsia" w:eastAsia="宋体"/>
          <w:color w:val="auto"/>
          <w:sz w:val="18"/>
          <w:szCs w:val="20"/>
          <w:highlight w:val="none"/>
          <w:lang w:eastAsia="zh-CN"/>
        </w:rPr>
      </w:pPr>
      <w:r>
        <w:rPr>
          <w:rFonts w:hint="eastAsia"/>
          <w:color w:val="auto"/>
          <w:sz w:val="18"/>
          <w:szCs w:val="20"/>
          <w:highlight w:val="none"/>
          <w:lang w:eastAsia="zh-CN"/>
        </w:rPr>
        <w:t>续表二：</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0"/>
        <w:gridCol w:w="1419"/>
        <w:gridCol w:w="1281"/>
        <w:gridCol w:w="1481"/>
      </w:tblGrid>
      <w:tr w14:paraId="5F9B8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8" w:space="0"/>
              <w:left w:val="nil"/>
              <w:bottom w:val="single" w:color="auto" w:sz="4" w:space="0"/>
              <w:right w:val="single" w:color="auto" w:sz="4" w:space="0"/>
            </w:tcBorders>
            <w:noWrap w:val="0"/>
            <w:vAlign w:val="center"/>
          </w:tcPr>
          <w:p w14:paraId="4C1C304D">
            <w:pPr>
              <w:spacing w:line="280" w:lineRule="exact"/>
              <w:ind w:firstLine="0" w:firstLineChars="0"/>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指标名称</w:t>
            </w:r>
          </w:p>
        </w:tc>
        <w:tc>
          <w:tcPr>
            <w:tcW w:w="1419" w:type="dxa"/>
            <w:tcBorders>
              <w:top w:val="single" w:color="auto" w:sz="8" w:space="0"/>
              <w:left w:val="single" w:color="auto" w:sz="4" w:space="0"/>
              <w:bottom w:val="single" w:color="auto" w:sz="4" w:space="0"/>
              <w:right w:val="single" w:color="auto" w:sz="4" w:space="0"/>
            </w:tcBorders>
            <w:noWrap w:val="0"/>
            <w:vAlign w:val="center"/>
          </w:tcPr>
          <w:p w14:paraId="07EF220F">
            <w:pPr>
              <w:spacing w:line="280" w:lineRule="exact"/>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计量单位</w:t>
            </w:r>
          </w:p>
        </w:tc>
        <w:tc>
          <w:tcPr>
            <w:tcW w:w="1281" w:type="dxa"/>
            <w:tcBorders>
              <w:top w:val="single" w:color="auto" w:sz="8" w:space="0"/>
              <w:left w:val="single" w:color="auto" w:sz="4" w:space="0"/>
              <w:bottom w:val="single" w:color="auto" w:sz="4" w:space="0"/>
              <w:right w:val="single" w:color="auto" w:sz="4" w:space="0"/>
            </w:tcBorders>
            <w:noWrap w:val="0"/>
            <w:vAlign w:val="center"/>
          </w:tcPr>
          <w:p w14:paraId="672D9FFF">
            <w:pPr>
              <w:spacing w:line="280" w:lineRule="exact"/>
              <w:ind w:left="-1" w:leftChars="-25" w:right="-78" w:rightChars="-37" w:hanging="52" w:hangingChars="29"/>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代码</w:t>
            </w:r>
          </w:p>
        </w:tc>
        <w:tc>
          <w:tcPr>
            <w:tcW w:w="1481" w:type="dxa"/>
            <w:tcBorders>
              <w:top w:val="single" w:color="auto" w:sz="8" w:space="0"/>
              <w:left w:val="single" w:color="auto" w:sz="4" w:space="0"/>
              <w:bottom w:val="single" w:color="auto" w:sz="4" w:space="0"/>
              <w:right w:val="nil"/>
            </w:tcBorders>
            <w:noWrap w:val="0"/>
            <w:vAlign w:val="center"/>
          </w:tcPr>
          <w:p w14:paraId="52E204C7">
            <w:pPr>
              <w:spacing w:line="280" w:lineRule="exact"/>
              <w:ind w:left="-1" w:leftChars="-25" w:right="-78" w:rightChars="-37" w:hanging="52" w:hangingChars="29"/>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数量</w:t>
            </w:r>
          </w:p>
        </w:tc>
      </w:tr>
      <w:tr w14:paraId="21D47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4" w:space="0"/>
            </w:tcBorders>
            <w:noWrap w:val="0"/>
            <w:vAlign w:val="center"/>
          </w:tcPr>
          <w:p w14:paraId="73B4F211">
            <w:pPr>
              <w:spacing w:line="280" w:lineRule="exact"/>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甲</w:t>
            </w:r>
          </w:p>
        </w:tc>
        <w:tc>
          <w:tcPr>
            <w:tcW w:w="1419" w:type="dxa"/>
            <w:tcBorders>
              <w:top w:val="single" w:color="auto" w:sz="4" w:space="0"/>
              <w:left w:val="single" w:color="auto" w:sz="4" w:space="0"/>
              <w:bottom w:val="single" w:color="auto" w:sz="4" w:space="0"/>
              <w:right w:val="single" w:color="auto" w:sz="4" w:space="0"/>
            </w:tcBorders>
            <w:noWrap w:val="0"/>
            <w:vAlign w:val="center"/>
          </w:tcPr>
          <w:p w14:paraId="23227EC9">
            <w:pPr>
              <w:spacing w:line="280" w:lineRule="exact"/>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乙</w:t>
            </w:r>
          </w:p>
        </w:tc>
        <w:tc>
          <w:tcPr>
            <w:tcW w:w="1281" w:type="dxa"/>
            <w:tcBorders>
              <w:top w:val="single" w:color="auto" w:sz="4" w:space="0"/>
              <w:left w:val="single" w:color="auto" w:sz="4" w:space="0"/>
              <w:bottom w:val="single" w:color="auto" w:sz="4" w:space="0"/>
              <w:right w:val="single" w:color="auto" w:sz="4" w:space="0"/>
            </w:tcBorders>
            <w:noWrap w:val="0"/>
            <w:vAlign w:val="center"/>
          </w:tcPr>
          <w:p w14:paraId="6CDA1A2F">
            <w:pPr>
              <w:spacing w:line="280" w:lineRule="exact"/>
              <w:ind w:left="-1" w:leftChars="-25" w:right="-78" w:rightChars="-37" w:hanging="52" w:hangingChars="29"/>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丙</w:t>
            </w:r>
          </w:p>
        </w:tc>
        <w:tc>
          <w:tcPr>
            <w:tcW w:w="1481" w:type="dxa"/>
            <w:tcBorders>
              <w:top w:val="single" w:color="auto" w:sz="4" w:space="0"/>
              <w:left w:val="single" w:color="auto" w:sz="4" w:space="0"/>
              <w:bottom w:val="single" w:color="auto" w:sz="4" w:space="0"/>
              <w:right w:val="nil"/>
            </w:tcBorders>
            <w:noWrap w:val="0"/>
            <w:vAlign w:val="center"/>
          </w:tcPr>
          <w:p w14:paraId="6F2558D6">
            <w:pPr>
              <w:spacing w:line="280" w:lineRule="exact"/>
              <w:ind w:left="-1" w:leftChars="-25" w:right="-78" w:rightChars="-37" w:hanging="52" w:hangingChars="29"/>
              <w:jc w:val="center"/>
              <w:rPr>
                <w:rFonts w:ascii="Times New Roman" w:hAnsi="Times New Roman"/>
                <w:bCs/>
                <w:color w:val="auto"/>
                <w:kern w:val="2"/>
                <w:sz w:val="18"/>
                <w:szCs w:val="24"/>
                <w:highlight w:val="none"/>
                <w:lang w:val="en-US" w:eastAsia="zh-CN" w:bidi="ar-SA"/>
              </w:rPr>
            </w:pPr>
            <w:r>
              <w:rPr>
                <w:rFonts w:ascii="Times New Roman" w:hAnsi="Times New Roman"/>
                <w:bCs/>
                <w:color w:val="auto"/>
                <w:sz w:val="18"/>
                <w:szCs w:val="24"/>
                <w:highlight w:val="none"/>
              </w:rPr>
              <w:t>1</w:t>
            </w:r>
          </w:p>
        </w:tc>
      </w:tr>
      <w:tr w14:paraId="1821A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798AFABD">
            <w:pPr>
              <w:spacing w:line="280" w:lineRule="exact"/>
              <w:ind w:firstLine="900" w:firstLineChars="500"/>
              <w:rPr>
                <w:bCs/>
                <w:color w:val="auto"/>
                <w:kern w:val="2"/>
                <w:sz w:val="18"/>
                <w:szCs w:val="24"/>
                <w:highlight w:val="none"/>
                <w:lang w:val="en-US" w:eastAsia="zh-CN" w:bidi="ar-SA"/>
              </w:rPr>
            </w:pPr>
            <w:r>
              <w:rPr>
                <w:bCs/>
                <w:color w:val="auto"/>
                <w:sz w:val="18"/>
                <w:szCs w:val="24"/>
                <w:highlight w:val="none"/>
              </w:rPr>
              <w:t>其中：企业上市融资股本</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38A006A5">
            <w:pPr>
              <w:spacing w:line="280" w:lineRule="exact"/>
              <w:jc w:val="center"/>
              <w:rPr>
                <w:bCs/>
                <w:color w:val="auto"/>
                <w:kern w:val="2"/>
                <w:sz w:val="18"/>
                <w:szCs w:val="24"/>
                <w:highlight w:val="none"/>
                <w:lang w:val="en-US" w:eastAsia="zh-CN" w:bidi="ar-SA"/>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651C4BE0">
            <w:pPr>
              <w:spacing w:line="280" w:lineRule="exact"/>
              <w:ind w:left="-1" w:leftChars="-25" w:right="-78" w:rightChars="-37" w:hanging="52" w:hangingChars="29"/>
              <w:jc w:val="center"/>
              <w:rPr>
                <w:rFonts w:cs="Calibri"/>
                <w:bCs/>
                <w:color w:val="auto"/>
                <w:kern w:val="2"/>
                <w:sz w:val="18"/>
                <w:szCs w:val="24"/>
                <w:highlight w:val="none"/>
                <w:lang w:val="en-US" w:eastAsia="zh-CN" w:bidi="ar-SA"/>
              </w:rPr>
            </w:pPr>
            <w:r>
              <w:rPr>
                <w:rFonts w:cs="Calibri"/>
                <w:bCs/>
                <w:color w:val="auto"/>
                <w:sz w:val="18"/>
                <w:szCs w:val="24"/>
                <w:highlight w:val="none"/>
              </w:rPr>
              <w:t>QC63</w:t>
            </w:r>
          </w:p>
        </w:tc>
        <w:tc>
          <w:tcPr>
            <w:tcW w:w="1481" w:type="dxa"/>
            <w:tcBorders>
              <w:top w:val="single" w:color="auto" w:sz="4" w:space="0"/>
              <w:left w:val="single" w:color="auto" w:sz="4" w:space="0"/>
              <w:bottom w:val="single" w:color="auto" w:sz="4" w:space="0"/>
              <w:right w:val="nil"/>
            </w:tcBorders>
            <w:noWrap w:val="0"/>
            <w:vAlign w:val="center"/>
          </w:tcPr>
          <w:p w14:paraId="008A52A5">
            <w:pPr>
              <w:spacing w:line="280" w:lineRule="exact"/>
              <w:ind w:left="-1" w:leftChars="-25" w:right="-78" w:rightChars="-37" w:hanging="52" w:hangingChars="29"/>
              <w:jc w:val="center"/>
              <w:rPr>
                <w:rFonts w:cs="Calibri"/>
                <w:bCs/>
                <w:color w:val="auto"/>
                <w:kern w:val="2"/>
                <w:sz w:val="18"/>
                <w:szCs w:val="24"/>
                <w:highlight w:val="none"/>
                <w:lang w:val="en-US" w:eastAsia="zh-CN" w:bidi="ar-SA"/>
              </w:rPr>
            </w:pPr>
          </w:p>
        </w:tc>
      </w:tr>
      <w:tr w14:paraId="080DC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0320E66F">
            <w:pPr>
              <w:spacing w:line="280" w:lineRule="exact"/>
              <w:ind w:firstLine="1440" w:firstLineChars="800"/>
              <w:rPr>
                <w:bCs/>
                <w:color w:val="auto"/>
                <w:sz w:val="18"/>
                <w:szCs w:val="24"/>
                <w:highlight w:val="none"/>
              </w:rPr>
            </w:pPr>
            <w:r>
              <w:rPr>
                <w:bCs/>
                <w:color w:val="auto"/>
                <w:sz w:val="18"/>
                <w:szCs w:val="24"/>
                <w:highlight w:val="none"/>
              </w:rPr>
              <w:t>其中：企业境外上市融资股本</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76E800D6">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65E64030">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QC50</w:t>
            </w:r>
          </w:p>
        </w:tc>
        <w:tc>
          <w:tcPr>
            <w:tcW w:w="1481" w:type="dxa"/>
            <w:tcBorders>
              <w:top w:val="single" w:color="auto" w:sz="4" w:space="0"/>
              <w:left w:val="single" w:color="auto" w:sz="4" w:space="0"/>
              <w:bottom w:val="single" w:color="auto" w:sz="4" w:space="0"/>
              <w:right w:val="nil"/>
            </w:tcBorders>
            <w:noWrap w:val="0"/>
            <w:vAlign w:val="center"/>
          </w:tcPr>
          <w:p w14:paraId="594E072F">
            <w:pPr>
              <w:spacing w:line="280" w:lineRule="exact"/>
              <w:ind w:left="-1" w:leftChars="-25" w:right="-78" w:rightChars="-37" w:hanging="52" w:hangingChars="29"/>
              <w:jc w:val="center"/>
              <w:rPr>
                <w:rFonts w:cs="Calibri"/>
                <w:bCs/>
                <w:color w:val="auto"/>
                <w:sz w:val="18"/>
                <w:szCs w:val="24"/>
                <w:highlight w:val="none"/>
              </w:rPr>
            </w:pPr>
          </w:p>
        </w:tc>
      </w:tr>
      <w:tr w14:paraId="2691B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36391A6A">
            <w:pPr>
              <w:spacing w:line="280" w:lineRule="exact"/>
              <w:rPr>
                <w:bCs/>
                <w:color w:val="auto"/>
                <w:sz w:val="18"/>
                <w:szCs w:val="24"/>
                <w:highlight w:val="none"/>
              </w:rPr>
            </w:pPr>
            <w:r>
              <w:rPr>
                <w:bCs/>
                <w:color w:val="auto"/>
                <w:sz w:val="18"/>
                <w:szCs w:val="24"/>
                <w:highlight w:val="none"/>
              </w:rPr>
              <w:t>对境外直接投资额</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60A6D8CB">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2C9693C1">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QC39</w:t>
            </w:r>
          </w:p>
        </w:tc>
        <w:tc>
          <w:tcPr>
            <w:tcW w:w="1481" w:type="dxa"/>
            <w:tcBorders>
              <w:top w:val="single" w:color="auto" w:sz="4" w:space="0"/>
              <w:left w:val="single" w:color="auto" w:sz="4" w:space="0"/>
              <w:bottom w:val="single" w:color="auto" w:sz="4" w:space="0"/>
              <w:right w:val="nil"/>
            </w:tcBorders>
            <w:noWrap w:val="0"/>
            <w:vAlign w:val="center"/>
          </w:tcPr>
          <w:p w14:paraId="06D181B4">
            <w:pPr>
              <w:spacing w:line="280" w:lineRule="exact"/>
              <w:ind w:left="-1" w:leftChars="-25" w:right="-78" w:rightChars="-37" w:hanging="52" w:hangingChars="29"/>
              <w:jc w:val="center"/>
              <w:rPr>
                <w:rFonts w:cs="Calibri"/>
                <w:bCs/>
                <w:color w:val="auto"/>
                <w:sz w:val="18"/>
                <w:szCs w:val="24"/>
                <w:highlight w:val="none"/>
              </w:rPr>
            </w:pPr>
          </w:p>
        </w:tc>
      </w:tr>
      <w:tr w14:paraId="3C5C1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705451C2">
            <w:pPr>
              <w:spacing w:line="280" w:lineRule="exact"/>
              <w:rPr>
                <w:bCs/>
                <w:color w:val="auto"/>
                <w:sz w:val="18"/>
                <w:szCs w:val="24"/>
                <w:highlight w:val="none"/>
              </w:rPr>
            </w:pPr>
            <w:r>
              <w:rPr>
                <w:bCs/>
                <w:color w:val="auto"/>
                <w:sz w:val="18"/>
                <w:szCs w:val="24"/>
                <w:highlight w:val="none"/>
              </w:rPr>
              <w:t>本年固定资产投资额</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75E6C30C">
            <w:pPr>
              <w:spacing w:line="280" w:lineRule="exact"/>
              <w:jc w:val="center"/>
              <w:rPr>
                <w:bCs/>
                <w:color w:val="auto"/>
                <w:sz w:val="18"/>
                <w:szCs w:val="24"/>
                <w:highlight w:val="none"/>
              </w:rPr>
            </w:pPr>
            <w:r>
              <w:rPr>
                <w:bCs/>
                <w:color w:val="auto"/>
                <w:sz w:val="18"/>
                <w:szCs w:val="24"/>
                <w:highlight w:val="none"/>
              </w:rPr>
              <w:t>千元</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61D650F4">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QC40</w:t>
            </w:r>
          </w:p>
        </w:tc>
        <w:tc>
          <w:tcPr>
            <w:tcW w:w="1481" w:type="dxa"/>
            <w:tcBorders>
              <w:top w:val="single" w:color="auto" w:sz="4" w:space="0"/>
              <w:left w:val="single" w:color="auto" w:sz="4" w:space="0"/>
              <w:bottom w:val="single" w:color="auto" w:sz="4" w:space="0"/>
              <w:right w:val="nil"/>
            </w:tcBorders>
            <w:noWrap w:val="0"/>
            <w:vAlign w:val="center"/>
          </w:tcPr>
          <w:p w14:paraId="31EDA503">
            <w:pPr>
              <w:spacing w:line="280" w:lineRule="exact"/>
              <w:ind w:left="-1" w:leftChars="-25" w:right="-78" w:rightChars="-37" w:hanging="52" w:hangingChars="29"/>
              <w:jc w:val="center"/>
              <w:rPr>
                <w:rFonts w:cs="Calibri"/>
                <w:bCs/>
                <w:color w:val="auto"/>
                <w:sz w:val="18"/>
                <w:szCs w:val="24"/>
                <w:highlight w:val="none"/>
              </w:rPr>
            </w:pPr>
          </w:p>
        </w:tc>
      </w:tr>
      <w:tr w14:paraId="4CB73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290" w:type="dxa"/>
            <w:tcBorders>
              <w:top w:val="single" w:color="auto" w:sz="4" w:space="0"/>
              <w:left w:val="nil"/>
              <w:bottom w:val="single" w:color="auto" w:sz="4" w:space="0"/>
              <w:right w:val="single" w:color="auto" w:sz="2" w:space="0"/>
            </w:tcBorders>
            <w:noWrap w:val="0"/>
            <w:vAlign w:val="center"/>
          </w:tcPr>
          <w:p w14:paraId="548747B2">
            <w:pPr>
              <w:spacing w:line="280" w:lineRule="exact"/>
              <w:rPr>
                <w:bCs/>
                <w:color w:val="auto"/>
                <w:sz w:val="18"/>
                <w:szCs w:val="24"/>
                <w:highlight w:val="none"/>
              </w:rPr>
            </w:pPr>
            <w:r>
              <w:rPr>
                <w:bCs/>
                <w:color w:val="auto"/>
                <w:sz w:val="18"/>
                <w:szCs w:val="24"/>
                <w:highlight w:val="none"/>
              </w:rPr>
              <w:t>规模以上工业企业及重点耗能企业综合能源消费量</w:t>
            </w:r>
          </w:p>
        </w:tc>
        <w:tc>
          <w:tcPr>
            <w:tcW w:w="1419" w:type="dxa"/>
            <w:tcBorders>
              <w:top w:val="single" w:color="auto" w:sz="4" w:space="0"/>
              <w:left w:val="single" w:color="auto" w:sz="2" w:space="0"/>
              <w:bottom w:val="single" w:color="auto" w:sz="4" w:space="0"/>
              <w:right w:val="single" w:color="auto" w:sz="2" w:space="0"/>
            </w:tcBorders>
            <w:noWrap w:val="0"/>
            <w:vAlign w:val="center"/>
          </w:tcPr>
          <w:p w14:paraId="0F2FA915">
            <w:pPr>
              <w:spacing w:line="280" w:lineRule="exact"/>
              <w:jc w:val="center"/>
              <w:rPr>
                <w:bCs/>
                <w:color w:val="auto"/>
                <w:sz w:val="18"/>
                <w:szCs w:val="24"/>
                <w:highlight w:val="none"/>
              </w:rPr>
            </w:pPr>
            <w:r>
              <w:rPr>
                <w:bCs/>
                <w:color w:val="auto"/>
                <w:sz w:val="18"/>
                <w:szCs w:val="24"/>
                <w:highlight w:val="none"/>
              </w:rPr>
              <w:t>吨标准煤</w:t>
            </w:r>
          </w:p>
        </w:tc>
        <w:tc>
          <w:tcPr>
            <w:tcW w:w="1281" w:type="dxa"/>
            <w:tcBorders>
              <w:top w:val="single" w:color="auto" w:sz="4" w:space="0"/>
              <w:left w:val="single" w:color="auto" w:sz="2" w:space="0"/>
              <w:bottom w:val="single" w:color="auto" w:sz="4" w:space="0"/>
              <w:right w:val="single" w:color="auto" w:sz="4" w:space="0"/>
            </w:tcBorders>
            <w:noWrap w:val="0"/>
            <w:vAlign w:val="center"/>
          </w:tcPr>
          <w:p w14:paraId="4FF3DA41">
            <w:pPr>
              <w:spacing w:line="280" w:lineRule="exact"/>
              <w:ind w:left="-1" w:leftChars="-25" w:right="-78" w:rightChars="-37" w:hanging="52" w:hangingChars="29"/>
              <w:jc w:val="center"/>
              <w:rPr>
                <w:rFonts w:cs="Calibri"/>
                <w:bCs/>
                <w:color w:val="auto"/>
                <w:sz w:val="18"/>
                <w:szCs w:val="24"/>
                <w:highlight w:val="none"/>
              </w:rPr>
            </w:pPr>
            <w:r>
              <w:rPr>
                <w:rFonts w:cs="Calibri"/>
                <w:bCs/>
                <w:color w:val="auto"/>
                <w:sz w:val="18"/>
                <w:szCs w:val="24"/>
                <w:highlight w:val="none"/>
              </w:rPr>
              <w:t>QC41</w:t>
            </w:r>
          </w:p>
        </w:tc>
        <w:tc>
          <w:tcPr>
            <w:tcW w:w="1481" w:type="dxa"/>
            <w:tcBorders>
              <w:top w:val="single" w:color="auto" w:sz="4" w:space="0"/>
              <w:left w:val="single" w:color="auto" w:sz="4" w:space="0"/>
              <w:bottom w:val="single" w:color="auto" w:sz="4" w:space="0"/>
              <w:right w:val="nil"/>
            </w:tcBorders>
            <w:noWrap w:val="0"/>
            <w:vAlign w:val="center"/>
          </w:tcPr>
          <w:p w14:paraId="24FC4896">
            <w:pPr>
              <w:spacing w:line="280" w:lineRule="exact"/>
              <w:ind w:left="-1" w:leftChars="-25" w:right="-78" w:rightChars="-37" w:hanging="52" w:hangingChars="29"/>
              <w:jc w:val="center"/>
              <w:rPr>
                <w:rFonts w:cs="Calibri"/>
                <w:bCs/>
                <w:color w:val="auto"/>
                <w:sz w:val="18"/>
                <w:szCs w:val="24"/>
                <w:highlight w:val="none"/>
              </w:rPr>
            </w:pPr>
          </w:p>
        </w:tc>
      </w:tr>
      <w:tr w14:paraId="14FE0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exact"/>
          <w:jc w:val="center"/>
        </w:trPr>
        <w:tc>
          <w:tcPr>
            <w:tcW w:w="9471" w:type="dxa"/>
            <w:gridSpan w:val="4"/>
            <w:tcBorders>
              <w:top w:val="single" w:color="auto" w:sz="4" w:space="0"/>
              <w:left w:val="nil"/>
              <w:bottom w:val="single" w:color="auto" w:sz="8" w:space="0"/>
              <w:right w:val="nil"/>
            </w:tcBorders>
            <w:noWrap w:val="0"/>
            <w:vAlign w:val="center"/>
          </w:tcPr>
          <w:p w14:paraId="541A7E23">
            <w:pPr>
              <w:snapToGrid/>
              <w:spacing w:line="280" w:lineRule="exact"/>
              <w:jc w:val="left"/>
              <w:rPr>
                <w:rFonts w:ascii="Times New Roman" w:hAnsi="Times New Roman"/>
                <w:bCs/>
                <w:color w:val="auto"/>
                <w:sz w:val="18"/>
                <w:szCs w:val="24"/>
                <w:highlight w:val="none"/>
              </w:rPr>
            </w:pPr>
            <w:r>
              <w:rPr>
                <w:rFonts w:ascii="Times New Roman" w:hAnsi="Times New Roman"/>
                <w:bCs/>
                <w:color w:val="auto"/>
                <w:sz w:val="18"/>
                <w:szCs w:val="24"/>
                <w:highlight w:val="none"/>
              </w:rPr>
              <w:t>补充资料：</w:t>
            </w:r>
          </w:p>
          <w:p w14:paraId="2578D819">
            <w:pPr>
              <w:snapToGrid/>
              <w:spacing w:line="280" w:lineRule="exact"/>
              <w:ind w:firstLine="180" w:firstLineChars="100"/>
              <w:jc w:val="left"/>
              <w:rPr>
                <w:bCs/>
                <w:color w:val="auto"/>
                <w:sz w:val="18"/>
                <w:szCs w:val="24"/>
                <w:highlight w:val="none"/>
              </w:rPr>
            </w:pPr>
            <w:r>
              <w:rPr>
                <w:rFonts w:hint="eastAsia"/>
                <w:bCs/>
                <w:color w:val="auto"/>
                <w:sz w:val="18"/>
                <w:szCs w:val="24"/>
                <w:highlight w:val="none"/>
              </w:rPr>
              <w:t>企业当年是否获得风险投资（QC226_1）</w:t>
            </w:r>
            <w:r>
              <w:rPr>
                <w:rFonts w:ascii="宋体" w:hAnsi="宋体" w:cs="宋体"/>
                <w:bCs/>
                <w:color w:val="auto"/>
                <w:sz w:val="18"/>
                <w:szCs w:val="18"/>
                <w:highlight w:val="none"/>
              </w:rPr>
              <w:t>□  1.是  2.否</w:t>
            </w:r>
          </w:p>
          <w:p w14:paraId="1BB26FA5">
            <w:pPr>
              <w:snapToGrid/>
              <w:spacing w:line="280" w:lineRule="exact"/>
              <w:ind w:firstLine="180" w:firstLineChars="100"/>
              <w:jc w:val="left"/>
              <w:rPr>
                <w:bCs/>
                <w:color w:val="auto"/>
                <w:sz w:val="18"/>
                <w:szCs w:val="24"/>
                <w:highlight w:val="none"/>
              </w:rPr>
            </w:pPr>
            <w:r>
              <w:rPr>
                <w:rFonts w:hint="eastAsia"/>
                <w:bCs/>
                <w:color w:val="auto"/>
                <w:sz w:val="18"/>
                <w:szCs w:val="24"/>
                <w:highlight w:val="none"/>
              </w:rPr>
              <w:t>若是，请注明企业获得的风险投资的阶段是</w:t>
            </w:r>
            <w:r>
              <w:rPr>
                <w:bCs/>
                <w:color w:val="auto"/>
                <w:sz w:val="18"/>
                <w:szCs w:val="24"/>
                <w:highlight w:val="none"/>
              </w:rPr>
              <w:t xml:space="preserve"> </w:t>
            </w:r>
            <w:r>
              <w:rPr>
                <w:rFonts w:hint="eastAsia"/>
                <w:bCs/>
                <w:color w:val="auto"/>
                <w:sz w:val="18"/>
                <w:szCs w:val="24"/>
                <w:highlight w:val="none"/>
              </w:rPr>
              <w:t>（</w:t>
            </w:r>
            <w:r>
              <w:rPr>
                <w:bCs/>
                <w:color w:val="auto"/>
                <w:sz w:val="18"/>
                <w:szCs w:val="24"/>
                <w:highlight w:val="none"/>
              </w:rPr>
              <w:t>QC226_2</w:t>
            </w:r>
            <w:r>
              <w:rPr>
                <w:rFonts w:hint="eastAsia"/>
                <w:bCs/>
                <w:color w:val="auto"/>
                <w:sz w:val="18"/>
                <w:szCs w:val="24"/>
                <w:highlight w:val="none"/>
              </w:rPr>
              <w:t>）</w:t>
            </w:r>
            <w:r>
              <w:rPr>
                <w:bCs/>
                <w:color w:val="auto"/>
                <w:sz w:val="18"/>
                <w:szCs w:val="24"/>
                <w:highlight w:val="none"/>
              </w:rPr>
              <w:t xml:space="preserve"> </w:t>
            </w:r>
            <w:r>
              <w:rPr>
                <w:rFonts w:hint="eastAsia"/>
                <w:bCs/>
                <w:color w:val="auto"/>
                <w:sz w:val="18"/>
                <w:szCs w:val="24"/>
                <w:highlight w:val="none"/>
              </w:rPr>
              <w:t>□1.天使轮2.A轮3.B轮4.C轮5.D轮及以上</w:t>
            </w:r>
          </w:p>
          <w:p w14:paraId="10A550C1">
            <w:pPr>
              <w:snapToGrid/>
              <w:spacing w:line="280" w:lineRule="exact"/>
              <w:ind w:firstLine="180" w:firstLineChars="100"/>
              <w:jc w:val="left"/>
              <w:rPr>
                <w:bCs/>
                <w:color w:val="auto"/>
                <w:sz w:val="18"/>
                <w:szCs w:val="24"/>
                <w:highlight w:val="none"/>
              </w:rPr>
            </w:pPr>
            <w:r>
              <w:rPr>
                <w:rFonts w:hint="eastAsia"/>
                <w:bCs/>
                <w:color w:val="auto"/>
                <w:sz w:val="18"/>
                <w:szCs w:val="24"/>
                <w:highlight w:val="none"/>
              </w:rPr>
              <w:t>当年获得创业风险投资机构的风险投资额为（QC226）千元</w:t>
            </w:r>
          </w:p>
          <w:p w14:paraId="561C9D98">
            <w:pPr>
              <w:spacing w:line="280" w:lineRule="exact"/>
              <w:ind w:left="-1" w:leftChars="-25" w:right="-78" w:rightChars="-37" w:hanging="52" w:hangingChars="29"/>
              <w:jc w:val="both"/>
              <w:rPr>
                <w:rFonts w:ascii="Times New Roman" w:hAnsi="Times New Roman"/>
                <w:bCs/>
                <w:color w:val="auto"/>
                <w:sz w:val="18"/>
                <w:szCs w:val="24"/>
                <w:highlight w:val="none"/>
              </w:rPr>
            </w:pPr>
          </w:p>
        </w:tc>
      </w:tr>
    </w:tbl>
    <w:p w14:paraId="6A546E1C">
      <w:pPr>
        <w:snapToGrid w:val="0"/>
        <w:spacing w:line="280" w:lineRule="exact"/>
        <w:ind w:firstLine="0" w:firstLineChars="0"/>
        <w:jc w:val="left"/>
        <w:rPr>
          <w:rFonts w:ascii="Times New Roman" w:hAnsi="Times New Roman"/>
          <w:bCs/>
          <w:color w:val="auto"/>
          <w:sz w:val="18"/>
          <w:szCs w:val="24"/>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6DBB4D6C">
      <w:pPr>
        <w:widowControl/>
        <w:spacing w:line="360" w:lineRule="exact"/>
        <w:ind w:left="535" w:leftChars="-3" w:hanging="541" w:hangingChars="301"/>
        <w:jc w:val="left"/>
        <w:rPr>
          <w:bCs/>
          <w:color w:val="auto"/>
          <w:sz w:val="18"/>
          <w:szCs w:val="24"/>
          <w:highlight w:val="none"/>
        </w:rPr>
      </w:pPr>
      <w:r>
        <w:rPr>
          <w:rFonts w:hint="eastAsia"/>
          <w:bCs/>
          <w:color w:val="auto"/>
          <w:sz w:val="18"/>
          <w:szCs w:val="24"/>
          <w:highlight w:val="none"/>
        </w:rPr>
        <w:t>说明：1.工业总产值指标由工业企业填报，部分行业代码为非工业的企业，若企业本身存在混业经营且涉足工业领域，产生工业总产值的也需填报。</w:t>
      </w:r>
    </w:p>
    <w:p w14:paraId="063A56A1">
      <w:pPr>
        <w:widowControl/>
        <w:spacing w:line="360" w:lineRule="exact"/>
        <w:ind w:left="535" w:leftChars="-3" w:hanging="541" w:hangingChars="301"/>
        <w:jc w:val="left"/>
        <w:rPr>
          <w:bCs/>
          <w:color w:val="auto"/>
          <w:sz w:val="18"/>
          <w:szCs w:val="24"/>
          <w:highlight w:val="none"/>
        </w:rPr>
      </w:pPr>
      <w:r>
        <w:rPr>
          <w:bCs/>
          <w:color w:val="auto"/>
          <w:sz w:val="18"/>
          <w:szCs w:val="24"/>
          <w:highlight w:val="none"/>
        </w:rPr>
        <w:t xml:space="preserve"> </w:t>
      </w:r>
      <w:r>
        <w:rPr>
          <w:rFonts w:hint="eastAsia" w:ascii="Times New Roman" w:hAnsi="Times New Roman" w:eastAsia="宋体" w:cs="Times New Roman"/>
          <w:bCs/>
          <w:color w:val="auto"/>
          <w:sz w:val="18"/>
          <w:szCs w:val="24"/>
          <w:highlight w:val="none"/>
        </w:rPr>
        <w:t xml:space="preserve">     2.规模以上工业企业及重点耗能企业综合能源消费量指标，仅由规上工业企业、以及年综合能源消费量1万吨标准煤及以上的</w:t>
      </w:r>
      <w:r>
        <w:rPr>
          <w:rFonts w:hint="eastAsia"/>
          <w:bCs/>
          <w:color w:val="auto"/>
          <w:sz w:val="18"/>
          <w:szCs w:val="18"/>
          <w:highlight w:val="none"/>
        </w:rPr>
        <w:t>重点耗能单位填报。填报时可根据规上工业企业及重点能耗企业填报的国家统计局能源报表抄报。</w:t>
      </w:r>
    </w:p>
    <w:p w14:paraId="0BFB0DF5">
      <w:pPr>
        <w:spacing w:line="360" w:lineRule="exact"/>
        <w:ind w:firstLine="540" w:firstLineChars="300"/>
        <w:rPr>
          <w:bCs/>
          <w:color w:val="auto"/>
          <w:sz w:val="18"/>
          <w:szCs w:val="24"/>
          <w:highlight w:val="none"/>
        </w:rPr>
      </w:pPr>
      <w:r>
        <w:rPr>
          <w:rFonts w:hint="eastAsia"/>
          <w:bCs/>
          <w:color w:val="auto"/>
          <w:sz w:val="18"/>
          <w:szCs w:val="24"/>
          <w:highlight w:val="none"/>
        </w:rPr>
        <w:t>3.审核关系：</w:t>
      </w:r>
    </w:p>
    <w:p w14:paraId="3A2EA2F6">
      <w:pPr>
        <w:shd w:val="clear" w:color="auto" w:fill="auto"/>
        <w:snapToGrid/>
        <w:spacing w:line="280" w:lineRule="exact"/>
        <w:ind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（1）QC05_0=QC06+QC07+QC10+QC49</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lang w:val="en-US" w:eastAsia="zh-CN"/>
        </w:rPr>
        <w:t xml:space="preserve">          </w:t>
      </w:r>
      <w:r>
        <w:rPr>
          <w:rFonts w:hint="eastAsia" w:ascii="Times New Roman" w:hAnsi="Times New Roman" w:eastAsia="宋体" w:cs="Times New Roman"/>
          <w:bCs/>
          <w:color w:val="auto"/>
          <w:sz w:val="18"/>
          <w:szCs w:val="18"/>
          <w:highlight w:val="none"/>
        </w:rPr>
        <w:t>（2）QC55≤QC05_0</w:t>
      </w:r>
      <w:r>
        <w:rPr>
          <w:rFonts w:hint="eastAsia" w:ascii="Times New Roman" w:hAnsi="Times New Roman" w:eastAsia="宋体" w:cs="Times New Roman"/>
          <w:bCs/>
          <w:color w:val="auto"/>
          <w:sz w:val="18"/>
          <w:szCs w:val="18"/>
          <w:highlight w:val="none"/>
        </w:rPr>
        <w:tab/>
      </w:r>
    </w:p>
    <w:p w14:paraId="520FF239">
      <w:pPr>
        <w:shd w:val="clear" w:color="auto" w:fill="auto"/>
        <w:snapToGrid/>
        <w:spacing w:line="280" w:lineRule="exact"/>
        <w:ind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（3）</w:t>
      </w:r>
      <w:r>
        <w:rPr>
          <w:rFonts w:hint="eastAsia" w:ascii="Times New Roman" w:hAnsi="Times New Roman" w:eastAsia="宋体" w:cs="Times New Roman"/>
          <w:bCs/>
          <w:color w:val="auto"/>
          <w:spacing w:val="0"/>
          <w:sz w:val="18"/>
          <w:szCs w:val="18"/>
          <w:highlight w:val="none"/>
        </w:rPr>
        <w:t>QC06≥QC06_1+QC06_2+QC06_3+QC06_4</w:t>
      </w:r>
      <w:r>
        <w:rPr>
          <w:rFonts w:hint="eastAsia" w:ascii="Times New Roman" w:hAnsi="Times New Roman" w:eastAsia="宋体" w:cs="Times New Roman"/>
          <w:bCs/>
          <w:color w:val="auto"/>
          <w:spacing w:val="0"/>
          <w:sz w:val="18"/>
          <w:szCs w:val="18"/>
          <w:highlight w:val="none"/>
        </w:rPr>
        <w:tab/>
      </w:r>
      <w:r>
        <w:rPr>
          <w:rFonts w:hint="eastAsia" w:ascii="Times New Roman" w:hAnsi="Times New Roman" w:eastAsia="宋体" w:cs="Times New Roman"/>
          <w:bCs/>
          <w:color w:val="auto"/>
          <w:spacing w:val="0"/>
          <w:sz w:val="18"/>
          <w:szCs w:val="18"/>
          <w:highlight w:val="none"/>
        </w:rPr>
        <w:tab/>
      </w:r>
      <w:r>
        <w:rPr>
          <w:rFonts w:hint="eastAsia" w:ascii="Times New Roman" w:hAnsi="Times New Roman" w:eastAsia="宋体" w:cs="Times New Roman"/>
          <w:bCs/>
          <w:color w:val="auto"/>
          <w:sz w:val="18"/>
          <w:szCs w:val="18"/>
          <w:highlight w:val="none"/>
        </w:rPr>
        <w:t>（4）QC09≤QC07</w:t>
      </w:r>
    </w:p>
    <w:p w14:paraId="78881406">
      <w:pPr>
        <w:shd w:val="clear" w:color="auto" w:fill="auto"/>
        <w:snapToGrid/>
        <w:spacing w:line="280" w:lineRule="exact"/>
        <w:ind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（5）QC52≥QC11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（6）QC05_0≥QC11</w:t>
      </w:r>
    </w:p>
    <w:p w14:paraId="4D96FE4A">
      <w:pPr>
        <w:shd w:val="clear" w:color="auto" w:fill="auto"/>
        <w:snapToGrid/>
        <w:spacing w:line="280" w:lineRule="exact"/>
        <w:ind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（7）QC11≥QC38</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（8）QC11≥QC11_1</w:t>
      </w:r>
      <w:r>
        <w:rPr>
          <w:rFonts w:hint="eastAsia" w:ascii="Times New Roman" w:hAnsi="Times New Roman" w:eastAsia="宋体" w:cs="Times New Roman"/>
          <w:bCs/>
          <w:color w:val="auto"/>
          <w:sz w:val="18"/>
          <w:szCs w:val="18"/>
          <w:highlight w:val="none"/>
        </w:rPr>
        <w:tab/>
      </w:r>
    </w:p>
    <w:p w14:paraId="6A747C0E">
      <w:pPr>
        <w:shd w:val="clear" w:color="auto" w:fill="auto"/>
        <w:snapToGrid/>
        <w:spacing w:line="280" w:lineRule="exact"/>
        <w:ind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（9）QC13≥QC14＋QC16</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（10）QC17≥QC18＋QC20</w:t>
      </w:r>
    </w:p>
    <w:p w14:paraId="19A66E2D">
      <w:pPr>
        <w:shd w:val="clear" w:color="auto" w:fill="auto"/>
        <w:snapToGrid/>
        <w:spacing w:line="280" w:lineRule="exact"/>
        <w:ind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（11）QC20≥QC20_1+QC20_2+QC20_3</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（12）QC24=QC25＋QC27_1</w:t>
      </w:r>
    </w:p>
    <w:p w14:paraId="2A985AEF">
      <w:pPr>
        <w:shd w:val="clear" w:color="auto" w:fill="auto"/>
        <w:snapToGrid/>
        <w:spacing w:line="280" w:lineRule="exact"/>
        <w:ind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（13）QC27_1≥QC30</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（14）QC33＝QC24－QC31</w:t>
      </w:r>
    </w:p>
    <w:p w14:paraId="3F784E5E">
      <w:pPr>
        <w:shd w:val="clear" w:color="auto" w:fill="auto"/>
        <w:snapToGrid/>
        <w:spacing w:line="280" w:lineRule="exact"/>
        <w:ind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（15）QC65≥QC61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（16）QC63≥QC50</w:t>
      </w:r>
    </w:p>
    <w:p w14:paraId="481C9E06">
      <w:pPr>
        <w:shd w:val="clear" w:color="auto" w:fill="auto"/>
        <w:snapToGrid/>
        <w:spacing w:line="280" w:lineRule="exact"/>
        <w:ind w:firstLine="540" w:firstLineChars="300"/>
        <w:jc w:val="left"/>
        <w:rPr>
          <w:rFonts w:cs="Calibri"/>
          <w:bCs/>
          <w:color w:val="auto"/>
          <w:highlight w:val="none"/>
        </w:rPr>
      </w:pPr>
      <w:r>
        <w:rPr>
          <w:rFonts w:hint="eastAsia" w:ascii="Times New Roman" w:hAnsi="Times New Roman" w:eastAsia="宋体" w:cs="Times New Roman"/>
          <w:bCs/>
          <w:color w:val="auto"/>
          <w:sz w:val="18"/>
          <w:szCs w:val="18"/>
          <w:highlight w:val="none"/>
        </w:rPr>
        <w:t>（17）若QC226_1=1，则QC226_2的有效代码为1、2、3、4或5，且QC226应＞0</w:t>
      </w:r>
    </w:p>
    <w:p w14:paraId="2558AD88">
      <w:pPr>
        <w:rPr>
          <w:rFonts w:ascii="Times New Roman" w:hAnsi="Times New Roman"/>
          <w:bCs/>
          <w:color w:val="auto"/>
          <w:highlight w:val="none"/>
        </w:rPr>
      </w:pPr>
    </w:p>
    <w:p w14:paraId="194977A1">
      <w:pPr>
        <w:tabs>
          <w:tab w:val="left" w:pos="753"/>
        </w:tabs>
        <w:spacing w:line="400" w:lineRule="exact"/>
        <w:jc w:val="center"/>
        <w:rPr>
          <w:rFonts w:ascii="Times New Roman" w:hAnsi="Times New Roman"/>
          <w:b/>
          <w:color w:val="auto"/>
          <w:sz w:val="32"/>
          <w:szCs w:val="32"/>
          <w:highlight w:val="none"/>
        </w:rPr>
      </w:pPr>
      <w:r>
        <w:rPr>
          <w:rFonts w:ascii="Times New Roman" w:hAnsi="Times New Roman"/>
          <w:color w:val="auto"/>
          <w:sz w:val="28"/>
          <w:szCs w:val="28"/>
          <w:highlight w:val="none"/>
        </w:rPr>
        <w:br w:type="page"/>
      </w:r>
      <w:r>
        <w:rPr>
          <w:rFonts w:hint="eastAsia" w:ascii="黑体" w:hAnsi="黑体" w:eastAsia="黑体" w:cs="黑体"/>
          <w:b w:val="0"/>
          <w:bCs/>
          <w:color w:val="auto"/>
          <w:kern w:val="0"/>
          <w:sz w:val="32"/>
          <w:szCs w:val="32"/>
          <w:highlight w:val="none"/>
        </w:rPr>
        <w:t>指标解释</w:t>
      </w:r>
    </w:p>
    <w:p w14:paraId="0A66EE37">
      <w:pPr>
        <w:pStyle w:val="9"/>
        <w:rPr>
          <w:rFonts w:ascii="Times New Roman" w:hAnsi="Times New Roman"/>
          <w:color w:val="auto"/>
          <w:highlight w:val="none"/>
        </w:rPr>
      </w:pPr>
    </w:p>
    <w:p w14:paraId="140A2A1F">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工业总产值（当年价格）</w:t>
      </w:r>
      <w:r>
        <w:rPr>
          <w:rFonts w:ascii="Times New Roman" w:hAnsi="Times New Roman"/>
          <w:bCs/>
          <w:color w:val="auto"/>
          <w:szCs w:val="24"/>
          <w:highlight w:val="none"/>
        </w:rPr>
        <w:t>指工业企业在报告期内生产的以货币形式表现的工业最终产品和提供工业劳务活动的总价值量。指标由工业企业填报，部分行业代码为非工业的企业，若企业本身存在混业经营且涉足工业领域，产生工业总产值的企业也需填报。</w:t>
      </w:r>
    </w:p>
    <w:p w14:paraId="018B4504">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（1）工业总产值核算应遵循的原则</w:t>
      </w:r>
    </w:p>
    <w:p w14:paraId="6131ACEE">
      <w:pPr>
        <w:adjustRightInd w:val="0"/>
        <w:snapToGrid w:val="0"/>
        <w:spacing w:line="400" w:lineRule="exact"/>
        <w:ind w:firstLine="420" w:firstLineChars="200"/>
        <w:rPr>
          <w:rFonts w:ascii="Times New Roman" w:hAnsi="Times New Roman"/>
          <w:bCs/>
          <w:color w:val="auto"/>
          <w:szCs w:val="24"/>
          <w:highlight w:val="none"/>
        </w:rPr>
      </w:pPr>
      <w:r>
        <w:rPr>
          <w:rFonts w:hint="eastAsia" w:ascii="宋体" w:hAnsi="宋体" w:cs="宋体"/>
          <w:bCs/>
          <w:color w:val="auto"/>
          <w:szCs w:val="24"/>
          <w:highlight w:val="none"/>
        </w:rPr>
        <w:t>①</w:t>
      </w:r>
      <w:r>
        <w:rPr>
          <w:rFonts w:ascii="Times New Roman" w:hAnsi="Times New Roman"/>
          <w:bCs/>
          <w:color w:val="auto"/>
          <w:szCs w:val="24"/>
          <w:highlight w:val="none"/>
        </w:rPr>
        <w:t>工业生产的原则。即凡是企业在报告期内生产的最终产品和提供的劳务，均应包括在内。其中的最终产品，不管是否在报告期内销售，只要是报告期内生产的，就应包括在内。凡不是工业生产的产品，均不得计入工业总产值。</w:t>
      </w:r>
    </w:p>
    <w:p w14:paraId="64515DC8">
      <w:pPr>
        <w:adjustRightInd w:val="0"/>
        <w:snapToGrid w:val="0"/>
        <w:spacing w:line="400" w:lineRule="exact"/>
        <w:ind w:firstLine="420" w:firstLineChars="200"/>
        <w:rPr>
          <w:rFonts w:ascii="Times New Roman" w:hAnsi="Times New Roman"/>
          <w:bCs/>
          <w:color w:val="auto"/>
          <w:szCs w:val="24"/>
          <w:highlight w:val="none"/>
        </w:rPr>
      </w:pPr>
      <w:r>
        <w:rPr>
          <w:rFonts w:hint="eastAsia" w:ascii="宋体" w:hAnsi="宋体" w:cs="宋体"/>
          <w:bCs/>
          <w:color w:val="auto"/>
          <w:szCs w:val="24"/>
          <w:highlight w:val="none"/>
        </w:rPr>
        <w:t>②</w:t>
      </w:r>
      <w:r>
        <w:rPr>
          <w:rFonts w:ascii="Times New Roman" w:hAnsi="Times New Roman"/>
          <w:bCs/>
          <w:color w:val="auto"/>
          <w:szCs w:val="24"/>
          <w:highlight w:val="none"/>
        </w:rPr>
        <w:t>最终产品的原则。即企业生产的成品价值必须是本企业生产的，经检验合格不需再进行任何加工的最终产品。企业对外销售的半成品也应视为最终产品计入工业总产值。而在本企业内各车间转移的半成品和在制品只能核算其期末期初差额价值。</w:t>
      </w:r>
    </w:p>
    <w:p w14:paraId="5CFF9836">
      <w:pPr>
        <w:adjustRightInd w:val="0"/>
        <w:snapToGrid w:val="0"/>
        <w:spacing w:line="400" w:lineRule="exact"/>
        <w:ind w:firstLine="420" w:firstLineChars="200"/>
        <w:rPr>
          <w:rFonts w:ascii="Times New Roman" w:hAnsi="Times New Roman"/>
          <w:bCs/>
          <w:color w:val="auto"/>
          <w:szCs w:val="24"/>
          <w:highlight w:val="none"/>
        </w:rPr>
      </w:pPr>
      <w:r>
        <w:rPr>
          <w:rFonts w:hint="eastAsia" w:ascii="宋体" w:hAnsi="宋体" w:cs="宋体"/>
          <w:bCs/>
          <w:color w:val="auto"/>
          <w:szCs w:val="24"/>
          <w:highlight w:val="none"/>
        </w:rPr>
        <w:t>③</w:t>
      </w:r>
      <w:r>
        <w:rPr>
          <w:rFonts w:ascii="Times New Roman" w:hAnsi="Times New Roman"/>
          <w:bCs/>
          <w:color w:val="auto"/>
          <w:szCs w:val="24"/>
          <w:highlight w:val="none"/>
        </w:rPr>
        <w:t>“工厂法”原则。即以法人工业企业作为一个整体核算工业总产值，是其报告期内生产的最终产品和提供劳务的总价值量。</w:t>
      </w:r>
    </w:p>
    <w:p w14:paraId="4948FD41">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（2）工业总产值的内容</w:t>
      </w:r>
    </w:p>
    <w:p w14:paraId="3960B8CE">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包括三部分：生产的成品价值、对外加工费收入、自制半成品在制品期末期初差额价值。</w:t>
      </w:r>
    </w:p>
    <w:p w14:paraId="757BBA66">
      <w:pPr>
        <w:adjustRightInd w:val="0"/>
        <w:snapToGrid w:val="0"/>
        <w:spacing w:line="400" w:lineRule="exact"/>
        <w:ind w:firstLine="420" w:firstLineChars="200"/>
        <w:rPr>
          <w:rFonts w:ascii="Times New Roman" w:hAnsi="Times New Roman"/>
          <w:bCs/>
          <w:color w:val="auto"/>
          <w:szCs w:val="24"/>
          <w:highlight w:val="none"/>
        </w:rPr>
      </w:pPr>
      <w:r>
        <w:rPr>
          <w:rFonts w:hint="eastAsia" w:ascii="宋体" w:hAnsi="宋体" w:cs="宋体"/>
          <w:bCs/>
          <w:color w:val="auto"/>
          <w:szCs w:val="24"/>
          <w:highlight w:val="none"/>
        </w:rPr>
        <w:t>①</w:t>
      </w:r>
      <w:r>
        <w:rPr>
          <w:rFonts w:ascii="Times New Roman" w:hAnsi="Times New Roman"/>
          <w:bCs/>
          <w:color w:val="auto"/>
          <w:szCs w:val="24"/>
          <w:highlight w:val="none"/>
        </w:rPr>
        <w:t>成品价值：指企业在报告期内生产，并在报告期内不再进行加工，经检验合格、包装入库的已经销售和准备销售的全部工业成品（包括半成品）价值合计。成品价值中包括企业生产的自制设备及提供给本企业在建工程、其他非工业部门和生活福利部门等单位使用的成品价值，但不包括用订货者来料加工的成品（半成品）价值。</w:t>
      </w:r>
    </w:p>
    <w:p w14:paraId="6D2A4D92">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工业总产值是按现行价格核算的。成品价值按成品实物量乘以报告期不含应交增值税（销项税额）的产品实际销售平均单价核算。会计核算中按成本价格转账的自制设备和自产自用的成品，按成本价格核算生产成品价值。</w:t>
      </w:r>
    </w:p>
    <w:p w14:paraId="3AC2BB0F">
      <w:pPr>
        <w:adjustRightInd w:val="0"/>
        <w:snapToGrid w:val="0"/>
        <w:spacing w:line="400" w:lineRule="exact"/>
        <w:ind w:firstLine="420" w:firstLineChars="200"/>
        <w:rPr>
          <w:rFonts w:ascii="Times New Roman" w:hAnsi="Times New Roman"/>
          <w:bCs/>
          <w:color w:val="auto"/>
          <w:szCs w:val="24"/>
          <w:highlight w:val="none"/>
        </w:rPr>
      </w:pPr>
      <w:r>
        <w:rPr>
          <w:rFonts w:hint="eastAsia" w:ascii="宋体" w:hAnsi="宋体" w:cs="宋体"/>
          <w:bCs/>
          <w:color w:val="auto"/>
          <w:szCs w:val="24"/>
          <w:highlight w:val="none"/>
        </w:rPr>
        <w:t>②</w:t>
      </w:r>
      <w:r>
        <w:rPr>
          <w:rFonts w:ascii="Times New Roman" w:hAnsi="Times New Roman"/>
          <w:bCs/>
          <w:color w:val="auto"/>
          <w:szCs w:val="24"/>
          <w:highlight w:val="none"/>
        </w:rPr>
        <w:t>对外加工费收入：指企业在报告期内完成的对外承做的工业品加工（包括用订货者来料加工生产）的加工费收入和对外工业品修理作业所收取的加工费收入和对内非工业部门提供的加工修理、设备安装等收入。对外加工费收入按不含应交增值税（销项税额）的价格核算。</w:t>
      </w:r>
    </w:p>
    <w:p w14:paraId="7A93FFF1">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对于以对外加工生产为主，对外加工费收入所占比重较大的企业，如果对外加工费收入出现跨报告期支付的情况，为保证总产值生产口径核算的准确性，则应将对外加工费收入按实际情况调整，记录本报告期应实际收取的对外加工费收入。</w:t>
      </w:r>
    </w:p>
    <w:p w14:paraId="35E47E13">
      <w:pPr>
        <w:adjustRightInd w:val="0"/>
        <w:snapToGrid w:val="0"/>
        <w:spacing w:line="400" w:lineRule="exact"/>
        <w:ind w:firstLine="420" w:firstLineChars="200"/>
        <w:rPr>
          <w:rFonts w:ascii="Times New Roman" w:hAnsi="Times New Roman"/>
          <w:bCs/>
          <w:color w:val="auto"/>
          <w:szCs w:val="24"/>
          <w:highlight w:val="none"/>
        </w:rPr>
      </w:pPr>
      <w:r>
        <w:rPr>
          <w:rFonts w:hint="eastAsia" w:ascii="宋体" w:hAnsi="宋体" w:cs="宋体"/>
          <w:bCs/>
          <w:color w:val="auto"/>
          <w:szCs w:val="24"/>
          <w:highlight w:val="none"/>
        </w:rPr>
        <w:t>③</w:t>
      </w:r>
      <w:r>
        <w:rPr>
          <w:rFonts w:ascii="Times New Roman" w:hAnsi="Times New Roman"/>
          <w:bCs/>
          <w:color w:val="auto"/>
          <w:szCs w:val="24"/>
          <w:highlight w:val="none"/>
        </w:rPr>
        <w:t>自制半成品在制品期末期初差额价值：为了使工业总产值与工业中间投入中的物耗价值一致，以便同口径地核算工业增加值，规定本指标的核算原则是：凡是企业会计产品成本核算中核算半成品、在制品成本，则工业总产值中必须包括自制半成品在制品期末期初差额价值。反之则不包括。</w:t>
      </w:r>
    </w:p>
    <w:p w14:paraId="3AD14698">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自制半成品在制品期末期初差额价值等于自制半成品在制品期末价值减去期初价值后的余额，如果期末价值小于期初价值，该指标为负值，企业在核算产值时，应按负值核算，不能作为零处理。</w:t>
      </w:r>
    </w:p>
    <w:p w14:paraId="302574DA">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（3）工业总产值核算的几种具体规定</w:t>
      </w:r>
    </w:p>
    <w:p w14:paraId="4C99F642">
      <w:pPr>
        <w:adjustRightInd w:val="0"/>
        <w:snapToGrid w:val="0"/>
        <w:spacing w:line="400" w:lineRule="exact"/>
        <w:ind w:firstLine="420" w:firstLineChars="200"/>
        <w:rPr>
          <w:rFonts w:ascii="Times New Roman" w:hAnsi="Times New Roman"/>
          <w:bCs/>
          <w:color w:val="auto"/>
          <w:szCs w:val="24"/>
          <w:highlight w:val="none"/>
        </w:rPr>
      </w:pPr>
      <w:r>
        <w:rPr>
          <w:rFonts w:hint="eastAsia" w:ascii="宋体" w:hAnsi="宋体" w:cs="宋体"/>
          <w:bCs/>
          <w:color w:val="auto"/>
          <w:szCs w:val="24"/>
          <w:highlight w:val="none"/>
        </w:rPr>
        <w:t>①</w:t>
      </w:r>
      <w:r>
        <w:rPr>
          <w:rFonts w:ascii="Times New Roman" w:hAnsi="Times New Roman"/>
          <w:bCs/>
          <w:color w:val="auto"/>
          <w:szCs w:val="24"/>
          <w:highlight w:val="none"/>
        </w:rPr>
        <w:t>凡自备原材料（包括自备零部件）生产，不论其加工繁简程度如何，一律按全价，即包括自备原材料的价值，核算工业总产值。</w:t>
      </w:r>
    </w:p>
    <w:p w14:paraId="721E9A7A">
      <w:pPr>
        <w:adjustRightInd w:val="0"/>
        <w:snapToGrid w:val="0"/>
        <w:spacing w:line="400" w:lineRule="exact"/>
        <w:ind w:firstLine="420" w:firstLineChars="200"/>
        <w:rPr>
          <w:rFonts w:ascii="Times New Roman" w:hAnsi="Times New Roman"/>
          <w:bCs/>
          <w:color w:val="auto"/>
          <w:szCs w:val="24"/>
          <w:highlight w:val="none"/>
        </w:rPr>
      </w:pPr>
      <w:r>
        <w:rPr>
          <w:rFonts w:hint="eastAsia" w:ascii="宋体" w:hAnsi="宋体" w:cs="宋体"/>
          <w:bCs/>
          <w:color w:val="auto"/>
          <w:szCs w:val="24"/>
          <w:highlight w:val="none"/>
        </w:rPr>
        <w:t>②</w:t>
      </w:r>
      <w:r>
        <w:rPr>
          <w:rFonts w:ascii="Times New Roman" w:hAnsi="Times New Roman"/>
          <w:bCs/>
          <w:color w:val="auto"/>
          <w:szCs w:val="24"/>
          <w:highlight w:val="none"/>
        </w:rPr>
        <w:t>凡来料加工，加工企业只收取加工费，则加工企业一律按财务上结算的加工费核算工业总产值，即不包括定货者来料的价值。一般分两种情况：a.工业企业之间的来料加工，加工企业（即承包单位）按财务上结算的加工费核算工业总产值；委托加工的企业（即发包单位）按全价核算工业总产值。b.工业企业与非工业企业之间的来料加工，当工业企业作为加工企业时一律按加工费核算工业总产值。</w:t>
      </w:r>
    </w:p>
    <w:p w14:paraId="1D543DA2">
      <w:pPr>
        <w:adjustRightInd w:val="0"/>
        <w:snapToGrid w:val="0"/>
        <w:spacing w:line="400" w:lineRule="exact"/>
        <w:ind w:firstLine="420" w:firstLineChars="200"/>
        <w:rPr>
          <w:rFonts w:ascii="Times New Roman" w:hAnsi="Times New Roman"/>
          <w:bCs/>
          <w:color w:val="auto"/>
          <w:szCs w:val="24"/>
          <w:highlight w:val="none"/>
        </w:rPr>
      </w:pPr>
      <w:r>
        <w:rPr>
          <w:rFonts w:hint="eastAsia" w:ascii="宋体" w:hAnsi="宋体" w:cs="宋体"/>
          <w:bCs/>
          <w:color w:val="auto"/>
          <w:szCs w:val="24"/>
          <w:highlight w:val="none"/>
        </w:rPr>
        <w:t>③</w:t>
      </w:r>
      <w:r>
        <w:rPr>
          <w:rFonts w:ascii="Times New Roman" w:hAnsi="Times New Roman"/>
          <w:bCs/>
          <w:color w:val="auto"/>
          <w:szCs w:val="24"/>
          <w:highlight w:val="none"/>
        </w:rPr>
        <w:t>自制半成品、在制品期末期初差额价值，原则上应计入工业总产值，但如果会计产品成本核算中不核算自制半成品、在制品成本，则不计入工业总产值；如果会计产品成本核算中核算自制半成品、在制品成本的，则计入工业总产值。</w:t>
      </w:r>
    </w:p>
    <w:p w14:paraId="7A320A8D">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区分来料加工与自备原材料生产的依据是加工企业与委托加工企业间的财务结算关系。如果委托企业提供原材料而不与加工企业结算，加工企业收取加工费，产品返回委托企业销售，则这种模式是来料加工；如果委托加工企业提供的原材料与加工企业是结算的，制成品由加工企业返给委托企业也是结算的，则这种模式是自备原材料生产。</w:t>
      </w:r>
    </w:p>
    <w:p w14:paraId="536F2FD9">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营业收入</w:t>
      </w:r>
      <w:r>
        <w:rPr>
          <w:rFonts w:hint="eastAsia" w:ascii="Times New Roman" w:hAnsi="Times New Roman"/>
          <w:bCs/>
          <w:color w:val="auto"/>
          <w:szCs w:val="24"/>
          <w:highlight w:val="none"/>
        </w:rPr>
        <w:t>指企业从事销售商品、提供劳务和让渡资产使用权等生产经营活动形成的经济利益流入。包括“主营业务收入”和“其他业务收入”。根据会计“利润表”中“营业收入”项目的本年累计数填报。</w:t>
      </w:r>
    </w:p>
    <w:p w14:paraId="03DD2080">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主营业务收入</w:t>
      </w:r>
      <w:r>
        <w:rPr>
          <w:rFonts w:hint="eastAsia" w:ascii="Times New Roman" w:hAnsi="Times New Roman"/>
          <w:bCs/>
          <w:color w:val="auto"/>
          <w:szCs w:val="24"/>
          <w:highlight w:val="none"/>
        </w:rPr>
        <w:t>指企业经营主要业务所实现的收入。如果会计“利润表”列示“主营业务收入”项目，则根据其本年累计数填报；或者，根据会计“主营业务收入”科目的本年各月贷方余额（结转前）之和填报，如未设置该科目，以“营业收入”代替填报。</w:t>
      </w:r>
    </w:p>
    <w:p w14:paraId="2A349BAA">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技术收入</w:t>
      </w:r>
      <w:r>
        <w:rPr>
          <w:rFonts w:ascii="Times New Roman" w:hAnsi="Times New Roman"/>
          <w:bCs/>
          <w:color w:val="auto"/>
          <w:szCs w:val="24"/>
          <w:highlight w:val="none"/>
        </w:rPr>
        <w:t>指企业全年用于技术转让、技术承包、技术咨询与服务、技术入股、中试产品收入以及接受外单位委托的科研收入等。</w:t>
      </w:r>
    </w:p>
    <w:p w14:paraId="12B3F84C">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技术转让收入</w:t>
      </w:r>
      <w:r>
        <w:rPr>
          <w:rFonts w:ascii="Times New Roman" w:hAnsi="Times New Roman"/>
          <w:bCs/>
          <w:color w:val="auto"/>
          <w:szCs w:val="24"/>
          <w:highlight w:val="none"/>
        </w:rPr>
        <w:t>指企业科研与开发活动的成果通过技术贸易、技术转让所获得的收入。技术转让包括</w:t>
      </w:r>
      <w:r>
        <w:rPr>
          <w:rFonts w:ascii="Times New Roman" w:hAnsi="Times New Roman"/>
          <w:bCs/>
          <w:color w:val="auto"/>
          <w:szCs w:val="18"/>
          <w:highlight w:val="none"/>
        </w:rPr>
        <w:t>专利权转让、专利申请权转让、技术秘密转让、专利实施许可转让、计算机软件著作权转让、集成电路布图设计专有权转让、植物新品种权转让、生物、医药新品种权转让等。</w:t>
      </w:r>
    </w:p>
    <w:p w14:paraId="6A26F18E">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技术承包收入</w:t>
      </w:r>
      <w:r>
        <w:rPr>
          <w:rFonts w:ascii="Times New Roman" w:hAnsi="Times New Roman"/>
          <w:bCs/>
          <w:color w:val="auto"/>
          <w:szCs w:val="24"/>
          <w:highlight w:val="none"/>
        </w:rPr>
        <w:t>指技术项目设计承包、技术工程和技术承包所获得的收入。</w:t>
      </w:r>
    </w:p>
    <w:p w14:paraId="48A6E28E">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技术咨询与服务收入</w:t>
      </w:r>
      <w:r>
        <w:rPr>
          <w:rFonts w:ascii="Times New Roman" w:hAnsi="Times New Roman"/>
          <w:bCs/>
          <w:color w:val="auto"/>
          <w:szCs w:val="24"/>
          <w:highlight w:val="none"/>
        </w:rPr>
        <w:t>指企业利用自己的人力、物力和数据系统等为社会和用户提供技术情报、技术资料、就特定项目提供可行性论证、技术预测、专题技术调查、分析评价等进行的技术咨询、以及以技术知识为客户解决特定技术问题，进行测试分析，开展技术中介服务和技术培训服务等各种技术服务所获得的收入。</w:t>
      </w:r>
    </w:p>
    <w:p w14:paraId="15976691">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接受委托研究开发收入</w:t>
      </w:r>
      <w:r>
        <w:rPr>
          <w:rFonts w:ascii="Times New Roman" w:hAnsi="Times New Roman"/>
          <w:bCs/>
          <w:color w:val="auto"/>
          <w:szCs w:val="24"/>
          <w:highlight w:val="none"/>
        </w:rPr>
        <w:t>指企业承担社会各方面委托，开展新技术、新产品、新工艺等开发研究工作所获得的收入。</w:t>
      </w:r>
    </w:p>
    <w:p w14:paraId="4E0E137A">
      <w:pPr>
        <w:adjustRightInd w:val="0"/>
        <w:snapToGrid w:val="0"/>
        <w:spacing w:line="400" w:lineRule="exact"/>
        <w:ind w:firstLine="436" w:firstLineChars="200"/>
        <w:rPr>
          <w:rFonts w:ascii="Times New Roman" w:hAnsi="Times New Roman"/>
          <w:bCs/>
          <w:color w:val="auto"/>
          <w:spacing w:val="4"/>
          <w:szCs w:val="24"/>
          <w:highlight w:val="none"/>
        </w:rPr>
      </w:pPr>
      <w:r>
        <w:rPr>
          <w:rFonts w:ascii="Times New Roman" w:hAnsi="Times New Roman" w:eastAsia="黑体"/>
          <w:bCs/>
          <w:color w:val="auto"/>
          <w:spacing w:val="4"/>
          <w:szCs w:val="21"/>
          <w:highlight w:val="none"/>
        </w:rPr>
        <w:t>产品销售收入</w:t>
      </w:r>
      <w:r>
        <w:rPr>
          <w:rFonts w:ascii="Times New Roman" w:hAnsi="Times New Roman"/>
          <w:bCs/>
          <w:color w:val="auto"/>
          <w:spacing w:val="4"/>
          <w:szCs w:val="24"/>
          <w:highlight w:val="none"/>
        </w:rPr>
        <w:t>指企业报告期内销售本企业生产的全部产成品、自制半成品和提供劳务等所取得的收入。</w:t>
      </w:r>
    </w:p>
    <w:p w14:paraId="20D13262">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高新技术产品销售收入</w:t>
      </w:r>
      <w:r>
        <w:rPr>
          <w:rFonts w:ascii="Times New Roman" w:hAnsi="Times New Roman"/>
          <w:bCs/>
          <w:color w:val="auto"/>
          <w:szCs w:val="24"/>
          <w:highlight w:val="none"/>
        </w:rPr>
        <w:t>指企业报告期内生产的符合国家和省高新技术重点范围、技术领域和产品参考目录的全新型产品；或省内首次生产的换代型产品；或国内首次生产的改进型产品；或属创新产品等；具较高的技术含量和较高的附加值的产品所形成的销售收入。</w:t>
      </w:r>
    </w:p>
    <w:p w14:paraId="0802AE9A">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商品销售收入</w:t>
      </w:r>
      <w:r>
        <w:rPr>
          <w:rFonts w:ascii="Times New Roman" w:hAnsi="Times New Roman"/>
          <w:bCs/>
          <w:color w:val="auto"/>
          <w:szCs w:val="24"/>
          <w:highlight w:val="none"/>
        </w:rPr>
        <w:t>指企业销售以出售为目的而购入的非本企业生产产品的销售收入。</w:t>
      </w:r>
    </w:p>
    <w:p w14:paraId="72992FF5">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其他营业收入</w:t>
      </w:r>
      <w:r>
        <w:rPr>
          <w:rFonts w:ascii="Times New Roman" w:hAnsi="Times New Roman"/>
          <w:bCs/>
          <w:color w:val="auto"/>
          <w:szCs w:val="24"/>
          <w:highlight w:val="none"/>
        </w:rPr>
        <w:t>指企业经营获取的除技术收入、产品销售收入、商品销售收入之外的其他营业收入。</w:t>
      </w:r>
    </w:p>
    <w:p w14:paraId="5E5D98AC">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进出口总额</w:t>
      </w:r>
      <w:r>
        <w:rPr>
          <w:rFonts w:ascii="Times New Roman" w:hAnsi="Times New Roman"/>
          <w:bCs/>
          <w:color w:val="auto"/>
          <w:szCs w:val="24"/>
          <w:highlight w:val="none"/>
        </w:rPr>
        <w:t>指实际进出我国国境的货物、技术和服务交易的总金额。包括对外贸易实际进出口货物，来料加工装配进出口货物，国家间、联合国及国际组织无偿援助物资和赠送品，华侨、港澳台同胞和外籍华人捐赠品，租赁期满归承租人所有的租赁货物，进料加工进出口货物，边境地方贸易及边境地区小额贸易进出口货物（边民互市贸易除外），中外合资企业、中外合作经营企业、外商独资经营企业进出口货物和公用物品，到、离岸价格在规定限额以上的进出口货样和广告品（无商业价值、无使用价值和免费提供出口的除外）、从保税仓库提取在中国境内销售的进口货物，以及其他进出口货物、进出口技术及服务等。该指标可以观察一个国家在对外贸易方面的总规模。我国规定出口货物按离岸价格统计，进口货物按到岸价格统计。</w:t>
      </w:r>
    </w:p>
    <w:p w14:paraId="1C145CBD">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出口总额</w:t>
      </w:r>
      <w:r>
        <w:rPr>
          <w:rFonts w:ascii="Times New Roman" w:hAnsi="Times New Roman"/>
          <w:bCs/>
          <w:color w:val="auto"/>
          <w:szCs w:val="24"/>
          <w:highlight w:val="none"/>
        </w:rPr>
        <w:t>指企业自营（委托）出口（包括销往香港、澳门、台湾地区）或交给外贸部门出口的产品、商品、出售给境外企业的技术或者为外商提供服务获得收益的总金额。包括外商来样、来料加工、来件装配和补偿贸易等生产的产品价值，以及境外技术合同或者服务实现金额。</w:t>
      </w:r>
    </w:p>
    <w:p w14:paraId="08416A15">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高新技术产品出口</w:t>
      </w:r>
      <w:r>
        <w:rPr>
          <w:rFonts w:ascii="Times New Roman" w:hAnsi="Times New Roman"/>
          <w:bCs/>
          <w:color w:val="auto"/>
          <w:szCs w:val="24"/>
          <w:highlight w:val="none"/>
        </w:rPr>
        <w:t>指企业在报告期内的产品出口创汇属于海关总署《高新技术产品进出口统计目录》中所列的高新技术产品。</w:t>
      </w:r>
    </w:p>
    <w:p w14:paraId="2D3FB968">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技术服务出口</w:t>
      </w:r>
      <w:r>
        <w:rPr>
          <w:rFonts w:ascii="Times New Roman" w:hAnsi="Times New Roman"/>
          <w:bCs/>
          <w:color w:val="auto"/>
          <w:szCs w:val="24"/>
          <w:highlight w:val="none"/>
        </w:rPr>
        <w:t>指出口总额中的技术和服务的部分，不包括产品或商品的出口部分。</w:t>
      </w:r>
    </w:p>
    <w:p w14:paraId="016DE7AC">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营业成本</w:t>
      </w:r>
      <w:r>
        <w:rPr>
          <w:rFonts w:hint="eastAsia" w:ascii="Times New Roman" w:hAnsi="Times New Roman"/>
          <w:bCs/>
          <w:color w:val="auto"/>
          <w:szCs w:val="24"/>
          <w:highlight w:val="none"/>
        </w:rPr>
        <w:t>指企业从事销售商品、提供劳务和让渡资产使用权等生产经营活动发生的实际成本。“营业成本”应当与“营业收入”进行配比。包括“主营业务成本”和“其他业务成本”。根据会计“利润表”中“营业成本”项目的本年累计数填报。</w:t>
      </w:r>
    </w:p>
    <w:p w14:paraId="7323E6F4">
      <w:pPr>
        <w:adjustRightInd w:val="0"/>
        <w:snapToGrid w:val="0"/>
        <w:spacing w:line="400" w:lineRule="exact"/>
        <w:ind w:firstLine="420" w:firstLineChars="200"/>
        <w:rPr>
          <w:bCs/>
          <w:color w:val="auto"/>
          <w:szCs w:val="24"/>
          <w:highlight w:val="none"/>
        </w:rPr>
      </w:pPr>
      <w:r>
        <w:rPr>
          <w:rFonts w:hint="eastAsia" w:eastAsia="黑体"/>
          <w:bCs/>
          <w:color w:val="auto"/>
          <w:szCs w:val="21"/>
          <w:highlight w:val="none"/>
        </w:rPr>
        <w:t>税金及附加</w:t>
      </w:r>
      <w:r>
        <w:rPr>
          <w:rFonts w:hint="eastAsia"/>
          <w:bCs/>
          <w:color w:val="auto"/>
          <w:szCs w:val="24"/>
          <w:highlight w:val="none"/>
        </w:rPr>
        <w:t>指企业因从事生产经营活动按税法规定应缴纳的消费税、城市维护建设税、资源税、环境保护税、教育费附加、房产税、城镇土地使用税、车船税、印花税等相关税费。根据会计“利润表”中“税金及附加”项目的本年累计数填报。</w:t>
      </w:r>
    </w:p>
    <w:p w14:paraId="6B9CA43E">
      <w:pPr>
        <w:adjustRightInd w:val="0"/>
        <w:snapToGrid w:val="0"/>
        <w:spacing w:line="400" w:lineRule="exact"/>
        <w:ind w:firstLine="420" w:firstLineChars="200"/>
        <w:rPr>
          <w:bCs/>
          <w:color w:val="auto"/>
          <w:szCs w:val="24"/>
          <w:highlight w:val="none"/>
        </w:rPr>
      </w:pPr>
      <w:r>
        <w:rPr>
          <w:rFonts w:hint="eastAsia" w:eastAsia="黑体"/>
          <w:bCs/>
          <w:color w:val="auto"/>
          <w:szCs w:val="21"/>
          <w:highlight w:val="none"/>
        </w:rPr>
        <w:t>销售费用</w:t>
      </w:r>
      <w:r>
        <w:rPr>
          <w:rFonts w:hint="eastAsia"/>
          <w:bCs/>
          <w:color w:val="auto"/>
          <w:szCs w:val="24"/>
          <w:highlight w:val="none"/>
        </w:rPr>
        <w:t>指企业在销售商品和材料、提供劳务的过程中发生的各种费用，包括保险费、包装费、展览费、广告费、商品维修费、预计产品质量保证损失、运输费、装卸费等以及为销售本企业商品而专设的销售机构（含销售网点、售后服务网点等）的职工薪酬、业务费、折旧费等经营费用。建筑业企业销售费用指企业从事施工生产活动过程中发生的各项费用，包括应由企业负担的运输费、装卸费、包装费、保险费、维修费、展览费、差旅费、广告费和其他经费。房地产企业销售费用指企业在从事主要经营业务过程中所发生的各项销售费用，包括转让、销售、结算和出租开发产品等。执行《企业会计准则》或《小企业会计准则》的企业，根据会计“利润表”中“销售费用”项目的本年累计数填报。执行其他企业会计制度的企业，根据会计“利润表”中“营业费用（或经营费用）”项目的本年累计数填报。</w:t>
      </w:r>
    </w:p>
    <w:p w14:paraId="1C36E82F">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管理费用</w:t>
      </w:r>
      <w:r>
        <w:rPr>
          <w:rFonts w:hint="eastAsia" w:ascii="Times New Roman" w:hAnsi="Times New Roman"/>
          <w:bCs/>
          <w:color w:val="auto"/>
          <w:szCs w:val="24"/>
          <w:highlight w:val="none"/>
        </w:rPr>
        <w:t>指企业为组织和管理企业生产经营所发生的费用，包括企业在筹建期间内发生的开办费、董事会和行政管理部门在企业经营管理中发生的，或者应当由企业统一负担的公司经费等。为了与财政部《关于修订印发2019年度一般企业财务报表格式的通知》（财会〔2019〕6号）保持一致，“管理费用”不包含“研发费用”。执行《企业会计准则》的企业,根据会计“利润表”中“管理费用”项目的本年累计数填报。执行《小企业会计准则》的企业,应将会计“利润表”中“管理费用”项目本年累计数减“研究费用”项目本年累计数后填报。执行《企业会计制度》的企业以及未执行财政部《关于修订印发2019年度一般企业财务报表格式的通知》（财会〔2019〕6号）的企业，在会计“利润表”中“管理费用”项目的本年累计数的基础上，根据会计“管理费用”科目下的“研究费用”相关明细科目，将“研发费用”剔除后填报。</w:t>
      </w:r>
    </w:p>
    <w:p w14:paraId="31457ACD">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研发费用</w:t>
      </w:r>
      <w:r>
        <w:rPr>
          <w:rFonts w:hint="eastAsia" w:ascii="Times New Roman" w:hAnsi="Times New Roman"/>
          <w:bCs/>
          <w:color w:val="auto"/>
          <w:szCs w:val="24"/>
          <w:highlight w:val="none"/>
        </w:rPr>
        <w:t>指企业在新知识、新技术、新产品、新工艺等的研究与开发过程中发生的费用化支出，以及计入“管理费用”会计科目的企业自行开发无形资产的摊销。费用化支出主要包括研发活动的人工费用、直接投入费用、用于研发活动的仪器、设备的折旧费、用于研发活动的软件、专利权、非专利技术的摊销费用、新产品设计费、新工艺规程制定费以及其他研发活动相关费用。执行《企业会计准则》的企业,根据会计“利润表”中“研发费用”项目的本年累计数填报。执行《小企业会计准则》的企业,根据会计“利润表”中“研究费用”项目的本年累计数填报。执行《企业会计制度》的企业以及会计“利润表”未列示“研发费用”或“研究费用”的企业，根据会计“管理费用”科目下“研究费用”明细科目的本期发生额，以及“管理费用”科目下“无形资产摊销”明细科目的本期发生额分析填报。</w:t>
      </w:r>
    </w:p>
    <w:p w14:paraId="7D8B842E">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财务费用</w:t>
      </w:r>
      <w:r>
        <w:rPr>
          <w:rFonts w:hint="eastAsia" w:ascii="Times New Roman" w:hAnsi="Times New Roman"/>
          <w:bCs/>
          <w:color w:val="auto"/>
          <w:szCs w:val="24"/>
          <w:highlight w:val="none"/>
        </w:rPr>
        <w:t>指企业为筹集生产经营所需资金等而发生的筹资费用，包括企业生产经营期间发生的利息支出（减利息收入）、汇兑损失（减汇兑收益）以及相关的手续费等。根据会计“利润表”中“财务费用”项目的本年累计数填报。</w:t>
      </w:r>
    </w:p>
    <w:p w14:paraId="75013A00">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资产减值损失</w:t>
      </w:r>
      <w:r>
        <w:rPr>
          <w:rFonts w:ascii="Times New Roman" w:hAnsi="Times New Roman" w:eastAsia="黑体"/>
          <w:color w:val="auto"/>
          <w:highlight w:val="none"/>
        </w:rPr>
        <w:t>(损失以</w:t>
      </w:r>
      <w:r>
        <w:rPr>
          <w:rFonts w:hint="eastAsia" w:ascii="黑体" w:hAnsi="黑体" w:eastAsia="黑体"/>
          <w:color w:val="auto"/>
          <w:highlight w:val="none"/>
        </w:rPr>
        <w:t>“-”</w:t>
      </w:r>
      <w:r>
        <w:rPr>
          <w:rFonts w:ascii="Times New Roman" w:hAnsi="Times New Roman" w:eastAsia="黑体"/>
          <w:color w:val="auto"/>
          <w:highlight w:val="none"/>
        </w:rPr>
        <w:t>号记)</w:t>
      </w:r>
      <w:r>
        <w:rPr>
          <w:rFonts w:hint="eastAsia" w:ascii="Times New Roman" w:hAnsi="Times New Roman"/>
          <w:bCs/>
          <w:color w:val="auto"/>
          <w:szCs w:val="24"/>
          <w:highlight w:val="none"/>
        </w:rPr>
        <w:t>指企业计提各项资产减值准备所形成的损失。根据会计“利润表”中“资产减值损失”项目的本年累计数填报。如果会计“利润表”未设置该项目，填0。</w:t>
      </w:r>
    </w:p>
    <w:p w14:paraId="06E87288">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信用减值损失</w:t>
      </w:r>
      <w:r>
        <w:rPr>
          <w:rFonts w:ascii="Times New Roman" w:hAnsi="Times New Roman" w:eastAsia="黑体"/>
          <w:color w:val="auto"/>
          <w:highlight w:val="none"/>
        </w:rPr>
        <w:t>(损失以</w:t>
      </w:r>
      <w:r>
        <w:rPr>
          <w:rFonts w:ascii="黑体" w:hAnsi="黑体" w:eastAsia="黑体"/>
          <w:color w:val="auto"/>
          <w:highlight w:val="none"/>
        </w:rPr>
        <w:t>“-”</w:t>
      </w:r>
      <w:r>
        <w:rPr>
          <w:rFonts w:ascii="Times New Roman" w:hAnsi="Times New Roman" w:eastAsia="黑体"/>
          <w:color w:val="auto"/>
          <w:highlight w:val="none"/>
        </w:rPr>
        <w:t>号记)</w:t>
      </w:r>
      <w:r>
        <w:rPr>
          <w:rFonts w:hint="eastAsia" w:ascii="Times New Roman" w:hAnsi="Times New Roman"/>
          <w:bCs/>
          <w:color w:val="auto"/>
          <w:szCs w:val="24"/>
          <w:highlight w:val="none"/>
        </w:rPr>
        <w:t>指企业计提的各项金融工具减值准备所形成的预期信用损失。根据会计“利润表”中“信用减值损失”项目的本年累计数填报。如果会计“利润表”未设置该项目，填0。</w:t>
      </w:r>
    </w:p>
    <w:p w14:paraId="3527A56E">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公允价值变动收益</w:t>
      </w:r>
      <w:r>
        <w:rPr>
          <w:rFonts w:hint="eastAsia" w:ascii="Times New Roman" w:hAnsi="Times New Roman"/>
          <w:bCs/>
          <w:color w:val="auto"/>
          <w:szCs w:val="24"/>
          <w:highlight w:val="none"/>
        </w:rPr>
        <w:t>指企业的交易性金融资产、交易性金融负债，以及采用公允价值模式计量的投资性房地产、衍生工具、套期保值业务等公允价值变动形成的应计入当期损益的利得或损失。根据会计“利润表”中“公允价值变动收益”项目的本年累计数填报，如果会计“利润表”未设置该项目，填0。</w:t>
      </w:r>
    </w:p>
    <w:p w14:paraId="6CFEA766">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投资收益</w:t>
      </w:r>
      <w:r>
        <w:rPr>
          <w:rFonts w:hint="eastAsia" w:ascii="Times New Roman" w:hAnsi="Times New Roman"/>
          <w:bCs/>
          <w:color w:val="auto"/>
          <w:szCs w:val="24"/>
          <w:highlight w:val="none"/>
        </w:rPr>
        <w:t>指企业确认的投资收益或投资损失，反映企业以各种方式对外投资所取得的收益。根据会计“利润表”中“投资收益”项目的本年累计数填报。如为投资损失以“-”号记。</w:t>
      </w:r>
    </w:p>
    <w:p w14:paraId="5A0CDAB6">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净敞口套期收益</w:t>
      </w:r>
      <w:r>
        <w:rPr>
          <w:rFonts w:hint="eastAsia" w:ascii="Times New Roman" w:hAnsi="Times New Roman"/>
          <w:bCs/>
          <w:color w:val="auto"/>
          <w:highlight w:val="none"/>
        </w:rPr>
        <w:t>指净敞口套期下被套期项目累计公允价值变动转入当期损益的金额或现金流量套期储备转入当期损益的金额。根据会计“利润表”中“净敞口套期收益”项目的本年累计数填报。如果会计“利润表”未设置该项目，填0。</w:t>
      </w:r>
    </w:p>
    <w:p w14:paraId="5736EBD3">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资产处置收益</w:t>
      </w:r>
      <w:r>
        <w:rPr>
          <w:rFonts w:hint="eastAsia" w:ascii="Times New Roman" w:hAnsi="Times New Roman"/>
          <w:bCs/>
          <w:color w:val="auto"/>
          <w:szCs w:val="24"/>
          <w:highlight w:val="none"/>
        </w:rPr>
        <w:t>指企业出售划分为持有待售的非流动资产（金融工具、长期股权投资和投资性房地产除外）或处置组时确认的处置利得或损失，以及处置未划分为持有待售的固定资产、在建工程、生产性生物资产及无形资产而产生的处置利得或损失。债务重组中因处置非流动资产产生的利得或损失和非货币性资产交换产生的利得或损失也包括在本项目内。根据会计“利润表”中“资产处置收益”项目的本年累计数填报。如果“利润表”未设置该项目，填0。</w:t>
      </w:r>
    </w:p>
    <w:p w14:paraId="187947F6">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其他收益</w:t>
      </w:r>
      <w:r>
        <w:rPr>
          <w:rFonts w:hint="eastAsia" w:ascii="Times New Roman" w:hAnsi="Times New Roman"/>
          <w:bCs/>
          <w:color w:val="auto"/>
          <w:szCs w:val="21"/>
          <w:highlight w:val="none"/>
        </w:rPr>
        <w:t>指计入其他收益的政府补助，以及其他与日常活动相关且计入其他收益的项目。根据会计“利润表”中“其他收益”项目的本年累计数填报。如果会计“利润表”未设置该项目，填0。</w:t>
      </w:r>
    </w:p>
    <w:p w14:paraId="49F446F1">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营业利润</w:t>
      </w:r>
      <w:r>
        <w:rPr>
          <w:rFonts w:hint="eastAsia" w:ascii="Times New Roman" w:hAnsi="Times New Roman"/>
          <w:bCs/>
          <w:color w:val="auto"/>
          <w:szCs w:val="24"/>
          <w:highlight w:val="none"/>
        </w:rPr>
        <w:t>指企业从事生产经营活动所取得的利润。执行《企业会计准则》或《小企业会计准则》的企业，根据会计“利润表”中“营业利润”项目的本年累计数填报；执行《企业会计制度》的企业，根据会计“损益表”中“营业利润”项目、“投资收益”项目的本年累计数之和填报。</w:t>
      </w:r>
    </w:p>
    <w:p w14:paraId="57453E0F">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营业外收入</w:t>
      </w:r>
      <w:r>
        <w:rPr>
          <w:rFonts w:hint="eastAsia" w:ascii="Times New Roman" w:hAnsi="Times New Roman"/>
          <w:bCs/>
          <w:color w:val="auto"/>
          <w:szCs w:val="21"/>
          <w:highlight w:val="none"/>
        </w:rPr>
        <w:t>指企业发生的除营业利润以外的收益，主要包括与企业日常活动无关的政府补助、盘盈利得、捐赠利得等。执行《企业会计准则》或《小企业会计准则》的企业，根据会计“利润表”中“营业外收入”项目的本年累计数填报；执行《企业会计制度》的企业，根据会计“损益表”中“营业外收入”项目、“补贴收入”项目的本年累计数之和填报。</w:t>
      </w:r>
    </w:p>
    <w:p w14:paraId="7F27EF1B">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营业外支出</w:t>
      </w:r>
      <w:r>
        <w:rPr>
          <w:rFonts w:hint="eastAsia" w:ascii="Times New Roman" w:hAnsi="Times New Roman"/>
          <w:bCs/>
          <w:color w:val="auto"/>
          <w:szCs w:val="21"/>
          <w:highlight w:val="none"/>
        </w:rPr>
        <w:t>指企业发生的除营业利润以外的支出，主要包括公益性捐赠支出、非常损失、盘亏损失、非流动资产毁损报废损失等。根据会计“利润表”中“营业外支出”项目的本年累计数填报。</w:t>
      </w:r>
    </w:p>
    <w:p w14:paraId="2230EFF8">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利润总额</w:t>
      </w:r>
      <w:r>
        <w:rPr>
          <w:rFonts w:hint="eastAsia" w:ascii="Times New Roman" w:hAnsi="Times New Roman"/>
          <w:bCs/>
          <w:color w:val="auto"/>
          <w:szCs w:val="24"/>
          <w:highlight w:val="none"/>
        </w:rPr>
        <w:t>指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14:paraId="2A0FAB4C">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净利润</w:t>
      </w:r>
      <w:r>
        <w:rPr>
          <w:rFonts w:hint="eastAsia" w:ascii="Times New Roman" w:hAnsi="Times New Roman"/>
          <w:bCs/>
          <w:color w:val="auto"/>
          <w:szCs w:val="24"/>
          <w:highlight w:val="none"/>
        </w:rPr>
        <w:t>指企业实现的利润在上交国家所得税后的剩余部分，按会计“损益表”中“净利润”项目的本年累计数填报。</w:t>
      </w:r>
    </w:p>
    <w:p w14:paraId="2E6482FE">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所得税费用</w:t>
      </w:r>
      <w:r>
        <w:rPr>
          <w:rFonts w:hint="eastAsia" w:ascii="Times New Roman" w:hAnsi="Times New Roman"/>
          <w:bCs/>
          <w:color w:val="auto"/>
          <w:szCs w:val="24"/>
          <w:highlight w:val="none"/>
        </w:rPr>
        <w:t>所得税费用由两部分组成：当期所得税和递延所得税。当期所得税是指企业按照税法规定计算确定的针对当期发生的交易和事项，应交纳给税务部门的所得税金额，即应交所得税。递延所得税是指按照所得税准则规定应予确认的递延所得税资产和递延所得税负债应有的金额相对于原已确认金额之间的差异。执行《企业会计准则》或《小企业会计准则》的企业，根据会计“利润表”中“所得税费用”项目的本年累计数填报；执行《企业会计制度》的企业，根据会计“损益表”中“所得税”项目的本年累计数填报。</w:t>
      </w:r>
    </w:p>
    <w:p w14:paraId="73767FE8">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实际上缴税费总额</w:t>
      </w:r>
      <w:r>
        <w:rPr>
          <w:rFonts w:ascii="Times New Roman" w:hAnsi="Times New Roman"/>
          <w:bCs/>
          <w:color w:val="auto"/>
          <w:szCs w:val="24"/>
          <w:highlight w:val="none"/>
        </w:rPr>
        <w:t>指企业在报告期年度内因生产经营等活动而实际上缴的各项税金、特种基金和附加费，包含印花税、土地使用税、房地产税及教育附加费等，不包含代扣代缴个人所得税和关税。按当年实际发生额填报。</w:t>
      </w:r>
    </w:p>
    <w:p w14:paraId="4A74B4F3">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减免税总额</w:t>
      </w:r>
      <w:r>
        <w:rPr>
          <w:rFonts w:ascii="Times New Roman" w:hAnsi="Times New Roman"/>
          <w:bCs/>
          <w:color w:val="auto"/>
          <w:szCs w:val="24"/>
          <w:highlight w:val="none"/>
        </w:rPr>
        <w:t>指报告期内企业根据国家或地方政府有关政策，所享受的各种减免税总额。包括税率式减免、税基式减免和税额式减免三类。具体包括已申报已审批、非申报非审批的征前减免和退库减免。其中，征前减免包括所得税加计扣除减免、欠税抵顶减免、对个体工商户提高起征点减免等；退库减免包括税务部门审批办理的先征后退（即征即退）、财政部门审批办理的流转税先征后退减免。</w:t>
      </w:r>
    </w:p>
    <w:p w14:paraId="6C312230">
      <w:pPr>
        <w:adjustRightInd w:val="0"/>
        <w:snapToGrid w:val="0"/>
        <w:spacing w:line="400" w:lineRule="exact"/>
        <w:ind w:firstLine="420" w:firstLineChars="200"/>
        <w:rPr>
          <w:rFonts w:ascii="Times New Roman" w:hAnsi="Times New Roman" w:eastAsia="黑体"/>
          <w:bCs/>
          <w:color w:val="auto"/>
          <w:szCs w:val="21"/>
          <w:highlight w:val="none"/>
        </w:rPr>
      </w:pPr>
      <w:r>
        <w:rPr>
          <w:rFonts w:hint="default" w:ascii="Times New Roman" w:hAnsi="Times New Roman" w:eastAsia="黑体"/>
          <w:bCs/>
          <w:color w:val="auto"/>
          <w:szCs w:val="21"/>
          <w:highlight w:val="none"/>
        </w:rPr>
        <w:t>享受先进制造业增值税加计抵减额</w:t>
      </w:r>
      <w:r>
        <w:rPr>
          <w:rFonts w:hint="default" w:ascii="Times New Roman" w:hAnsi="Times New Roman" w:eastAsia="宋体" w:cs="Times New Roman"/>
          <w:bCs/>
          <w:color w:val="auto"/>
          <w:szCs w:val="24"/>
          <w:highlight w:val="none"/>
        </w:rPr>
        <w:t>指报告期内高新技术企业按照《财政部 税务总局关于先进制造业企业增值税加计抵减政策的公告》（财政部税务总局公告〔2023〕43号）、《工业和信息化部办公厅关于2023年度享受增值税加计抵减政策的先进制造业企业名单制定工作有关事项的通知》（工信厅财函﹝2023﹞267号）及相关政策依法享受的增值税加计抵减额，按填报期当年税务部门实际抵减的税额填报。如本年实际发生的抵减额为零，即填0。</w:t>
      </w:r>
    </w:p>
    <w:p w14:paraId="1447DFF6">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享受高新技术企业所得税减免</w:t>
      </w:r>
      <w:r>
        <w:rPr>
          <w:rFonts w:ascii="Times New Roman" w:hAnsi="Times New Roman"/>
          <w:bCs/>
          <w:color w:val="auto"/>
          <w:szCs w:val="24"/>
          <w:highlight w:val="none"/>
        </w:rPr>
        <w:t>指报告期内高新技术企业按照国家有关政策依法享受的企业所得税减免额，按填报期当年税务部门实际减免的税额填报。如本年实际发生的减免额为零，即填0。对填报期上年应获得减免但未予实施，而实际在填报期年度获得减免的，须计入填报期填报。</w:t>
      </w:r>
    </w:p>
    <w:p w14:paraId="66BEED19">
      <w:pPr>
        <w:adjustRightInd w:val="0"/>
        <w:snapToGrid w:val="0"/>
        <w:spacing w:line="400" w:lineRule="exact"/>
        <w:ind w:firstLine="420" w:firstLineChars="200"/>
        <w:rPr>
          <w:rFonts w:ascii="Times New Roman" w:hAnsi="Times New Roman"/>
          <w:bCs/>
          <w:color w:val="auto"/>
          <w:szCs w:val="24"/>
          <w:highlight w:val="none"/>
        </w:rPr>
      </w:pPr>
      <w:r>
        <w:rPr>
          <w:rFonts w:hint="eastAsia" w:ascii="Times New Roman" w:hAnsi="Times New Roman" w:eastAsia="黑体"/>
          <w:bCs/>
          <w:color w:val="auto"/>
          <w:szCs w:val="21"/>
          <w:highlight w:val="none"/>
          <w:lang w:eastAsia="zh-CN"/>
        </w:rPr>
        <w:t>享受</w:t>
      </w:r>
      <w:r>
        <w:rPr>
          <w:rFonts w:ascii="Times New Roman" w:hAnsi="Times New Roman" w:eastAsia="黑体"/>
          <w:bCs/>
          <w:color w:val="auto"/>
          <w:szCs w:val="21"/>
          <w:highlight w:val="none"/>
        </w:rPr>
        <w:t>研发加计扣除所得税减免</w:t>
      </w:r>
      <w:r>
        <w:rPr>
          <w:rFonts w:ascii="Times New Roman" w:hAnsi="Times New Roman"/>
          <w:bCs/>
          <w:color w:val="auto"/>
          <w:szCs w:val="24"/>
          <w:highlight w:val="none"/>
        </w:rPr>
        <w:t>指报告期内企业按照有关政策和税法规定税前加计扣除的研究开发活动费用所得税，按填报期当年税务部门实际减免的税额填报。如本年实际发生的减免额为零，即填0。对填报期上年应获得减免但未予实施，而实际在填报期年度获得减免的，须计入填报期填报。</w:t>
      </w:r>
    </w:p>
    <w:p w14:paraId="4DF2DA05">
      <w:pPr>
        <w:adjustRightInd w:val="0"/>
        <w:snapToGrid w:val="0"/>
        <w:spacing w:line="400" w:lineRule="exact"/>
        <w:ind w:firstLine="420" w:firstLineChars="200"/>
        <w:rPr>
          <w:rFonts w:ascii="Times New Roman" w:hAnsi="Times New Roman"/>
          <w:bCs/>
          <w:color w:val="auto"/>
          <w:szCs w:val="24"/>
          <w:highlight w:val="none"/>
        </w:rPr>
      </w:pPr>
      <w:r>
        <w:rPr>
          <w:rFonts w:hint="eastAsia" w:ascii="Times New Roman" w:hAnsi="Times New Roman" w:eastAsia="黑体"/>
          <w:bCs/>
          <w:color w:val="auto"/>
          <w:szCs w:val="21"/>
          <w:highlight w:val="none"/>
          <w:lang w:eastAsia="zh-CN"/>
        </w:rPr>
        <w:t>享受</w:t>
      </w:r>
      <w:r>
        <w:rPr>
          <w:rFonts w:ascii="Times New Roman" w:hAnsi="Times New Roman" w:eastAsia="黑体"/>
          <w:bCs/>
          <w:color w:val="auto"/>
          <w:szCs w:val="21"/>
          <w:highlight w:val="none"/>
        </w:rPr>
        <w:t>技术转让所得税减免</w:t>
      </w:r>
      <w:r>
        <w:rPr>
          <w:rFonts w:ascii="Times New Roman" w:hAnsi="Times New Roman"/>
          <w:bCs/>
          <w:color w:val="auto"/>
          <w:szCs w:val="24"/>
          <w:highlight w:val="none"/>
        </w:rPr>
        <w:t>指按照《企业所得税法》第二十七条和《企业所得税法实施条例》第九十七条规定，企业符合条件的技术转让所得免征、减征的企业所得税额。</w:t>
      </w:r>
    </w:p>
    <w:p w14:paraId="5122C5FD">
      <w:pPr>
        <w:adjustRightInd w:val="0"/>
        <w:snapToGrid w:val="0"/>
        <w:spacing w:line="400" w:lineRule="exact"/>
        <w:ind w:firstLine="420" w:firstLineChars="200"/>
        <w:rPr>
          <w:rFonts w:hint="eastAsia" w:ascii="Times New Roman" w:hAnsi="Times New Roman"/>
          <w:bCs/>
          <w:color w:val="auto"/>
          <w:szCs w:val="24"/>
          <w:highlight w:val="none"/>
        </w:rPr>
      </w:pPr>
      <w:r>
        <w:rPr>
          <w:rFonts w:ascii="Times New Roman" w:hAnsi="Times New Roman" w:eastAsia="黑体"/>
          <w:bCs/>
          <w:color w:val="auto"/>
          <w:szCs w:val="24"/>
          <w:highlight w:val="none"/>
        </w:rPr>
        <w:t>应交增值税</w:t>
      </w:r>
      <w:r>
        <w:rPr>
          <w:rFonts w:hint="eastAsia" w:ascii="Times New Roman" w:hAnsi="Times New Roman"/>
          <w:bCs/>
          <w:color w:val="auto"/>
          <w:szCs w:val="24"/>
          <w:highlight w:val="none"/>
        </w:rPr>
        <w:t>按照税法规定，以销售货物、服务、无形资产、不动产或提供加工、修理修配劳务的增值额和货物进口金额为计税依据而课征的一种流转税。填报本指标时，应按权责发生制核算企业本期应负担的增值税，有两种计算方法，可选其一，一旦确定，原则上不得更改。</w:t>
      </w:r>
    </w:p>
    <w:p w14:paraId="0C70AEF8">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方法一：根据本期会计科目“销项税额”“进项税额转出”“出口退税”“简易计税”年初至期末贷方累计发生额，“进项税额”“出口抵减内销产品应纳税额”“减免税款”年初至期末借方累计发生额，取值后按照下述公式计算填报：</w:t>
      </w:r>
    </w:p>
    <w:p w14:paraId="3BDF956D">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应交增值税（本年累计发生额）=销项税额－（进项税额－进项税额转出）－出口抵减内销产品应纳税额－减免税款+出口退税+简易计税</w:t>
      </w:r>
    </w:p>
    <w:p w14:paraId="3C255164">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方法二：根据本期《增值税及附加税费申报表（一般纳税人适用）》（以“国家税务总局公告2021年第20号”版式为例）主表“销项税额”（第11栏）“进项税额”（第12栏）“进项税额转出”（第14栏）“免、抵、退应退税额”（第15栏）“简易计税办法计算的应纳税额”（第21栏）“按简易计税办法计算的纳税检查应补缴税额”（第22栏）“应纳税额减征额”（第23栏）栏目“一般项目”列中“本年累计”列，各期附表4“税额抵减情况表”（第6行第2列减第3列）“本期发生额”-“本期调减额”的本期累计数（政策有效期内，符合加计抵减条件的企业填报），按照下述公式计算填报：</w:t>
      </w:r>
    </w:p>
    <w:p w14:paraId="24F97C73">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应交增值税（本年累计发生额）=销项税额－（进项税额－进项税额转出－免、抵、退应退税额）+简易计税办法计算的应纳税额+按简易计税办法计算的纳税检查应补缴税额－应纳税额减征额-加计抵减额</w:t>
      </w:r>
    </w:p>
    <w:p w14:paraId="7075A3B6">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计算方法说明及填报要求：</w:t>
      </w:r>
    </w:p>
    <w:p w14:paraId="38E50FD1">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（1）计算公式均体现权责发生制，本期发生的进项税额全部参与计算，相当于不设置留抵，同时也不抵扣会计账簿或增值税纳税申报表中上年年末留抵的进项税额，公式计算结果可以为负数。</w:t>
      </w:r>
    </w:p>
    <w:p w14:paraId="5FEA839A">
      <w:pPr>
        <w:adjustRightInd w:val="0"/>
        <w:snapToGrid w:val="0"/>
        <w:spacing w:line="400" w:lineRule="exact"/>
        <w:ind w:firstLine="420" w:firstLineChars="200"/>
        <w:rPr>
          <w:rFonts w:ascii="Times New Roman" w:hAnsi="Times New Roman"/>
          <w:bCs/>
          <w:color w:val="auto"/>
          <w:szCs w:val="24"/>
          <w:highlight w:val="none"/>
        </w:rPr>
      </w:pPr>
      <w:r>
        <w:rPr>
          <w:rFonts w:hint="eastAsia" w:ascii="Times New Roman" w:hAnsi="Times New Roman"/>
          <w:bCs/>
          <w:color w:val="auto"/>
          <w:szCs w:val="24"/>
          <w:highlight w:val="none"/>
        </w:rPr>
        <w:t>（2）按照公式计算本指标后，不应再加增值税减免税额，因为这部分价值不再形成企业缴纳义务。</w:t>
      </w:r>
    </w:p>
    <w:p w14:paraId="600AF4F8">
      <w:pPr>
        <w:adjustRightInd w:val="0"/>
        <w:snapToGrid w:val="0"/>
        <w:spacing w:line="400" w:lineRule="exact"/>
        <w:ind w:firstLine="420" w:firstLineChars="200"/>
        <w:rPr>
          <w:rFonts w:ascii="Times New Roman" w:hAnsi="Times New Roman"/>
          <w:bCs/>
          <w:color w:val="auto"/>
          <w:sz w:val="24"/>
          <w:highlight w:val="none"/>
        </w:rPr>
      </w:pPr>
      <w:r>
        <w:rPr>
          <w:rFonts w:ascii="Times New Roman" w:hAnsi="Times New Roman" w:eastAsia="黑体"/>
          <w:bCs/>
          <w:color w:val="auto"/>
          <w:szCs w:val="24"/>
          <w:highlight w:val="none"/>
        </w:rPr>
        <w:t>进项税额</w:t>
      </w:r>
      <w:r>
        <w:rPr>
          <w:rFonts w:ascii="Times New Roman" w:hAnsi="Times New Roman"/>
          <w:bCs/>
          <w:color w:val="auto"/>
          <w:szCs w:val="24"/>
          <w:highlight w:val="none"/>
        </w:rPr>
        <w:t>指企业在报告期内购入货物或接受应税劳务而支付的、准予从销项税额中抵扣的增值税额。</w:t>
      </w:r>
    </w:p>
    <w:p w14:paraId="43B082B5">
      <w:pPr>
        <w:adjustRightInd w:val="0"/>
        <w:snapToGrid w:val="0"/>
        <w:spacing w:line="400" w:lineRule="exact"/>
        <w:ind w:firstLine="420" w:firstLineChars="200"/>
        <w:rPr>
          <w:rFonts w:ascii="Times New Roman" w:hAnsi="Times New Roman"/>
          <w:bCs/>
          <w:color w:val="auto"/>
          <w:sz w:val="24"/>
          <w:highlight w:val="none"/>
        </w:rPr>
      </w:pPr>
      <w:r>
        <w:rPr>
          <w:rFonts w:ascii="Times New Roman" w:hAnsi="Times New Roman" w:eastAsia="黑体"/>
          <w:bCs/>
          <w:color w:val="auto"/>
          <w:szCs w:val="24"/>
          <w:highlight w:val="none"/>
        </w:rPr>
        <w:t>销项税额</w:t>
      </w:r>
      <w:r>
        <w:rPr>
          <w:rFonts w:ascii="Times New Roman" w:hAnsi="Times New Roman"/>
          <w:bCs/>
          <w:color w:val="auto"/>
          <w:szCs w:val="24"/>
          <w:highlight w:val="none"/>
        </w:rPr>
        <w:t>指企业在报告期内销售货物或提供应税劳务应收取的增值税额。</w:t>
      </w:r>
    </w:p>
    <w:p w14:paraId="6AC40D40">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本年应付职工薪酬</w:t>
      </w:r>
      <w:r>
        <w:rPr>
          <w:rFonts w:ascii="Times New Roman" w:hAnsi="Times New Roman"/>
          <w:bCs/>
          <w:color w:val="auto"/>
          <w:szCs w:val="24"/>
          <w:highlight w:val="none"/>
        </w:rPr>
        <w:t>指企业为获得职工提供的服务或解除劳动关系而给予的各种形式的报酬或补偿。包括短期薪酬、离职后福利、辞退福利和其他长期职工福利。如果企业财务报告附注中包含“应付职工薪酬”项目，则根据其“应付职工薪酬列示”部分的合计项的本期增加额填报，执行《企业会计准则》或《小企业会计准则》的企业，根据会计“应付职工薪酬”科目的本年贷方累计发生额填报；执行其他企业会计制度的企业，应将本年上述职工薪酬包含的项目归并填报。</w:t>
      </w:r>
    </w:p>
    <w:p w14:paraId="01E81582">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资产总计</w:t>
      </w:r>
      <w:r>
        <w:rPr>
          <w:rFonts w:hint="eastAsia" w:ascii="Times New Roman" w:hAnsi="Times New Roman"/>
          <w:bCs/>
          <w:color w:val="auto"/>
          <w:szCs w:val="24"/>
          <w:highlight w:val="none"/>
        </w:rPr>
        <w:t>指企业过去的交易或者事项形成的、由企业拥有或者控制的、预期会给企业带来经济利益的资源。包括企业拥有的土地、办公楼、厂房、机器、运输工具、存货等实物资产和现金、存款、应收账款和预付账款等金融资产。资产一般按流动性（资产的变现或耗用时间长短）分为流动资产和非流动资产。其中流动资产可分为货币资金、交易性金融资产、应收票据、应收账款、预付款项、其他应收款、存货等；非流动资产可分为长期股权投资、固定资产、无形资产及其他非流动资产等。根据会计“资产负债表”中“资产总计”项目的期末余额数填报。</w:t>
      </w:r>
    </w:p>
    <w:p w14:paraId="514ABFB9">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流动资产合计</w:t>
      </w:r>
      <w:r>
        <w:rPr>
          <w:rFonts w:hint="eastAsia"/>
          <w:bCs/>
          <w:color w:val="auto"/>
          <w:szCs w:val="24"/>
          <w:highlight w:val="none"/>
        </w:rPr>
        <w:t>资产满足以下条件之一应归为流动资产：（1）预计在一个正常营业周期中变现、出售或耗用，主要包括存货、应收账款等；（2）主要为交易目的而持有；（3）预计在资产负债表日起一年内（含一年）变现；（4）自资产负债表日起一年内，交换其他资产或清偿负债的能力不受限制的现金或现金等价物。包括货币资金、应收票据、应收账款、存货等项目。根据会计“资产负债表”中“流动资产合计”项目的期末余额数填报。</w:t>
      </w:r>
    </w:p>
    <w:p w14:paraId="40B416C8">
      <w:pPr>
        <w:adjustRightInd w:val="0"/>
        <w:snapToGrid w:val="0"/>
        <w:spacing w:line="400" w:lineRule="exact"/>
        <w:ind w:firstLine="420" w:firstLineChars="200"/>
        <w:rPr>
          <w:rFonts w:hint="eastAsia"/>
          <w:bCs/>
          <w:color w:val="auto"/>
          <w:szCs w:val="24"/>
          <w:highlight w:val="none"/>
        </w:rPr>
      </w:pPr>
      <w:r>
        <w:rPr>
          <w:rFonts w:ascii="Times New Roman" w:hAnsi="Times New Roman" w:eastAsia="黑体"/>
          <w:bCs/>
          <w:color w:val="auto"/>
          <w:szCs w:val="21"/>
          <w:highlight w:val="none"/>
        </w:rPr>
        <w:t>非流动资产合计</w:t>
      </w:r>
      <w:r>
        <w:rPr>
          <w:rFonts w:hint="eastAsia"/>
          <w:bCs/>
          <w:color w:val="auto"/>
          <w:szCs w:val="24"/>
          <w:highlight w:val="none"/>
        </w:rPr>
        <w:t>指不能在一年或者超过一年的一个营业周期内变现或者耗用的资产，主要包括持有到期投资、长期应收款、长期股权投资、工程物资、投资性房地产、固定资产、在建工程、无形资产、长期待摊费用、可供出售金融资产等。根据会计“资产负债表”中“非流动资产”科目的期末余额填报。</w:t>
      </w:r>
    </w:p>
    <w:p w14:paraId="3CC4F96B">
      <w:pPr>
        <w:adjustRightInd w:val="0"/>
        <w:snapToGrid w:val="0"/>
        <w:spacing w:line="400" w:lineRule="exact"/>
        <w:ind w:firstLine="420" w:firstLineChars="200"/>
        <w:rPr>
          <w:rFonts w:ascii="Times New Roman" w:hAnsi="Times New Roman" w:eastAsia="黑体"/>
          <w:bCs/>
          <w:color w:val="auto"/>
          <w:szCs w:val="21"/>
          <w:highlight w:val="none"/>
        </w:rPr>
      </w:pPr>
      <w:r>
        <w:rPr>
          <w:rFonts w:ascii="Times New Roman" w:hAnsi="Times New Roman" w:eastAsia="黑体"/>
          <w:bCs/>
          <w:color w:val="auto"/>
          <w:szCs w:val="21"/>
          <w:highlight w:val="none"/>
        </w:rPr>
        <w:t>固定资产净值</w:t>
      </w:r>
      <w:r>
        <w:rPr>
          <w:rFonts w:ascii="Times New Roman" w:hAnsi="Times New Roman"/>
          <w:bCs/>
          <w:color w:val="auto"/>
          <w:szCs w:val="21"/>
          <w:highlight w:val="none"/>
        </w:rPr>
        <w:t>指固定资产原价减去已提折旧后的净额，反映企业实际占用在固定资产上的资金数额和固定资产的新旧程度。计算公式：固定资产净值=固定资产原价-累计折旧。</w:t>
      </w:r>
      <w:r>
        <w:rPr>
          <w:rFonts w:ascii="Times New Roman" w:hAnsi="Times New Roman"/>
          <w:bCs/>
          <w:color w:val="auto"/>
          <w:szCs w:val="24"/>
          <w:highlight w:val="none"/>
        </w:rPr>
        <w:t>固定资产指企业为生产商品、提供劳务、出租或经营管理而持有的，使用寿命超过一个会计年度的有形资产。包括房屋、建筑物、机器、机械、运输工具以及其他与生产经营活动有关的设备、器具、工具等。</w:t>
      </w:r>
    </w:p>
    <w:p w14:paraId="1CFA6D6F">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无形资产</w:t>
      </w:r>
      <w:r>
        <w:rPr>
          <w:rFonts w:hint="eastAsia" w:ascii="Times New Roman" w:hAnsi="Times New Roman"/>
          <w:bCs/>
          <w:color w:val="auto"/>
          <w:szCs w:val="24"/>
          <w:highlight w:val="none"/>
        </w:rPr>
        <w:t>指调查单位拥有或者控制的没有实物形态的可辨认非货币性资产，无形资产通常包括专利权、非专利技术、商标权、著作权、特许权、土地使用权等。根据会计“资产负债表”中“无形资产”项目的期末余额填报。</w:t>
      </w:r>
    </w:p>
    <w:p w14:paraId="7B364A19">
      <w:pPr>
        <w:adjustRightInd w:val="0"/>
        <w:snapToGrid w:val="0"/>
        <w:spacing w:line="400" w:lineRule="exact"/>
        <w:ind w:firstLine="420" w:firstLineChars="200"/>
        <w:rPr>
          <w:rFonts w:ascii="Times New Roman" w:hAnsi="Times New Roman"/>
          <w:b/>
          <w:bCs/>
          <w:color w:val="auto"/>
          <w:szCs w:val="24"/>
          <w:highlight w:val="none"/>
        </w:rPr>
      </w:pPr>
      <w:r>
        <w:rPr>
          <w:rFonts w:ascii="Times New Roman" w:hAnsi="Times New Roman" w:eastAsia="黑体"/>
          <w:bCs/>
          <w:color w:val="auto"/>
          <w:szCs w:val="21"/>
          <w:highlight w:val="none"/>
        </w:rPr>
        <w:t>开发支出</w:t>
      </w:r>
      <w:r>
        <w:rPr>
          <w:rFonts w:hint="eastAsia"/>
          <w:bCs/>
          <w:color w:val="auto"/>
          <w:szCs w:val="24"/>
          <w:highlight w:val="none"/>
        </w:rPr>
        <w:t>指企业的研发项目在开发阶段满足资本化条件的支出，即达到预定用途形成无形资产的，计入“开发支出”。根据“研发支出”科目的“资本化支出”明细科目期末借方余额填列。</w:t>
      </w:r>
    </w:p>
    <w:p w14:paraId="22484E3A">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固定资产折旧</w:t>
      </w:r>
      <w:r>
        <w:rPr>
          <w:rFonts w:ascii="Times New Roman" w:hAnsi="Times New Roman"/>
          <w:bCs/>
          <w:color w:val="auto"/>
          <w:szCs w:val="24"/>
          <w:highlight w:val="none"/>
        </w:rPr>
        <w:t>指企业在固定资产的使用寿命内，按照确定的方法对应计折旧额进行系统分摊。</w:t>
      </w:r>
    </w:p>
    <w:p w14:paraId="2E627A2A">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累计折旧</w:t>
      </w:r>
      <w:r>
        <w:rPr>
          <w:rFonts w:hint="eastAsia" w:ascii="Times New Roman" w:hAnsi="Times New Roman"/>
          <w:bCs/>
          <w:color w:val="auto"/>
          <w:szCs w:val="24"/>
          <w:highlight w:val="none"/>
        </w:rPr>
        <w:t>指企业在报告期末提取的历年固定资产折旧累计数。包括房屋、建筑物和机器设备等的折旧费。根据会计“累计折旧”科目的期末贷方余额填报。</w:t>
      </w:r>
    </w:p>
    <w:p w14:paraId="07D20C7C">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本年折旧</w:t>
      </w:r>
      <w:r>
        <w:rPr>
          <w:rFonts w:hint="eastAsia" w:ascii="Times New Roman" w:hAnsi="Times New Roman"/>
          <w:bCs/>
          <w:color w:val="auto"/>
          <w:szCs w:val="24"/>
          <w:highlight w:val="none"/>
        </w:rPr>
        <w:t>指企业在报告期内提取的固定资产折旧合计数。可根据会计“累计折旧”科目的本期贷方累计发生额填报；或者，可根据会计“财务状况变动表”中“固定资产折旧”项的数值填报。若企业执行2001年《企业会计制度》，可以根据会计核算中《资产减值准备、投资及固定资产情况表》内“当年计提的固定资产折旧总额”项本年增加数填报。</w:t>
      </w:r>
    </w:p>
    <w:p w14:paraId="15FC6129">
      <w:pPr>
        <w:adjustRightInd w:val="0"/>
        <w:snapToGrid w:val="0"/>
        <w:spacing w:line="400" w:lineRule="exact"/>
        <w:ind w:firstLine="420" w:firstLineChars="200"/>
        <w:rPr>
          <w:rFonts w:hint="eastAsia"/>
          <w:bCs/>
          <w:color w:val="auto"/>
          <w:szCs w:val="24"/>
          <w:highlight w:val="none"/>
        </w:rPr>
      </w:pPr>
      <w:r>
        <w:rPr>
          <w:rFonts w:ascii="Times New Roman" w:hAnsi="Times New Roman" w:eastAsia="黑体"/>
          <w:bCs/>
          <w:color w:val="auto"/>
          <w:szCs w:val="21"/>
          <w:highlight w:val="none"/>
        </w:rPr>
        <w:t>年末负债合计</w:t>
      </w:r>
      <w:r>
        <w:rPr>
          <w:rFonts w:hint="eastAsia"/>
          <w:bCs/>
          <w:color w:val="auto"/>
          <w:szCs w:val="24"/>
          <w:highlight w:val="none"/>
        </w:rPr>
        <w:t>指企业过去的交易或者事项形成的，预期会导致经济利益流出企业的现时义务。包括银行贷款、借款、应付账款、应付职工工资、应付职工福利费、应交税金等企业负有偿还责任的债务。根据会计“资产负债表”中“负债合计”项目的期末余额数填报。</w:t>
      </w:r>
    </w:p>
    <w:p w14:paraId="0F3B6B54">
      <w:pPr>
        <w:adjustRightInd w:val="0"/>
        <w:snapToGrid w:val="0"/>
        <w:spacing w:line="400" w:lineRule="exact"/>
        <w:ind w:firstLine="420" w:firstLineChars="200"/>
        <w:rPr>
          <w:rFonts w:ascii="Times New Roman" w:hAnsi="Times New Roman"/>
          <w:bCs/>
          <w:color w:val="auto"/>
          <w:szCs w:val="24"/>
          <w:highlight w:val="none"/>
        </w:rPr>
      </w:pPr>
      <w:r>
        <w:rPr>
          <w:rFonts w:hint="eastAsia"/>
          <w:bCs/>
          <w:color w:val="auto"/>
          <w:szCs w:val="24"/>
          <w:highlight w:val="none"/>
        </w:rPr>
        <w:t>负债一般按偿还期长短分为流动负债和非流动负债。执行《企业会计准则》或《小企业会计准则》的企业：负债合计=流动负债合计+非流动负债合计；执行《企业会计制度》的企业负债包括流动负债和长期负债。</w:t>
      </w:r>
    </w:p>
    <w:p w14:paraId="727D5E8F">
      <w:pPr>
        <w:adjustRightInd w:val="0"/>
        <w:snapToGrid w:val="0"/>
        <w:spacing w:line="400" w:lineRule="exact"/>
        <w:ind w:firstLine="420" w:firstLineChars="200"/>
        <w:rPr>
          <w:bCs/>
          <w:color w:val="auto"/>
          <w:szCs w:val="24"/>
          <w:highlight w:val="none"/>
        </w:rPr>
      </w:pPr>
      <w:r>
        <w:rPr>
          <w:rFonts w:ascii="Times New Roman" w:hAnsi="Times New Roman" w:eastAsia="黑体"/>
          <w:bCs/>
          <w:color w:val="auto"/>
          <w:szCs w:val="21"/>
          <w:highlight w:val="none"/>
        </w:rPr>
        <w:t>流动负债合计</w:t>
      </w:r>
      <w:r>
        <w:rPr>
          <w:rFonts w:hint="eastAsia"/>
          <w:bCs/>
          <w:color w:val="auto"/>
          <w:szCs w:val="24"/>
          <w:highlight w:val="none"/>
        </w:rPr>
        <w:t>负债满足下列条件之一的应归为流动负债：（1）预计在一个正常营业周期中清偿；（2）主要为交易目的而持有；（3）自资产负债表日起一年内到期应予清偿；（4）企业无权自主地将清偿推迟至资产负债表日后一年以上。包括短期借款、应付票据、应付账款、应付职工薪酬、应交税费等项目。根据会计“资产负债表”中“流动负债合计”项目的期末余额数填报。</w:t>
      </w:r>
    </w:p>
    <w:p w14:paraId="0DE84B3F">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存量银行贷款额</w:t>
      </w:r>
      <w:r>
        <w:rPr>
          <w:rFonts w:ascii="Times New Roman" w:hAnsi="Times New Roman"/>
          <w:bCs/>
          <w:color w:val="auto"/>
          <w:szCs w:val="24"/>
          <w:highlight w:val="none"/>
        </w:rPr>
        <w:t>指到会计期末企业尚未偿还的银行贷款，等于贷款总额扣除已偿还的银行贷款。</w:t>
      </w:r>
    </w:p>
    <w:p w14:paraId="2AAD0D9B">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年末所有者权益</w:t>
      </w:r>
      <w:r>
        <w:rPr>
          <w:rFonts w:hint="eastAsia" w:ascii="Times New Roman" w:hAnsi="Times New Roman"/>
          <w:bCs/>
          <w:color w:val="auto"/>
          <w:szCs w:val="24"/>
          <w:highlight w:val="none"/>
        </w:rPr>
        <w:t>指企业资产扣除负债后由所有者享有的剩余权益。公司的所有者权益又称股东权益。包括实收资本、资本公积、盈余公积、未分配利润等。根据会计“资产负债表”中“所有者权益合计”项目的期末余额数填报。</w:t>
      </w:r>
    </w:p>
    <w:p w14:paraId="5D4C0F70">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实收资本</w:t>
      </w:r>
      <w:r>
        <w:rPr>
          <w:rFonts w:hint="eastAsia" w:ascii="Times New Roman" w:hAnsi="Times New Roman"/>
          <w:bCs/>
          <w:color w:val="auto"/>
          <w:szCs w:val="24"/>
          <w:highlight w:val="none"/>
        </w:rPr>
        <w:t>指企业各投资者实际投入的资本（或股本）总额，包括货币、实物、无形资产等各种形式的投入。实收资本按投资主体可分为国家资本、集体资本、法人资本、个人资本、港澳台资本和外商资本。根据会计“资产负债表”中“所有者权益”项下“实收资本”的期末余额数填报。</w:t>
      </w:r>
    </w:p>
    <w:p w14:paraId="4E607A77">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企业上市融资股本</w:t>
      </w:r>
      <w:r>
        <w:rPr>
          <w:rFonts w:ascii="Times New Roman" w:hAnsi="Times New Roman"/>
          <w:bCs/>
          <w:color w:val="auto"/>
          <w:szCs w:val="24"/>
          <w:highlight w:val="none"/>
        </w:rPr>
        <w:t>指截至当年存有的股本，不是指融资量，统计前提是上市资产的所有权归属于填报企业。</w:t>
      </w:r>
    </w:p>
    <w:p w14:paraId="266ABF7C">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企业境外上市融资股本</w:t>
      </w:r>
      <w:r>
        <w:rPr>
          <w:rFonts w:ascii="Times New Roman" w:hAnsi="Times New Roman"/>
          <w:bCs/>
          <w:color w:val="auto"/>
          <w:szCs w:val="24"/>
          <w:highlight w:val="none"/>
        </w:rPr>
        <w:t>指截至当年存有的股本，不是指融资量，统计前提是海外上市资产的所有权归属于填报企业。</w:t>
      </w:r>
    </w:p>
    <w:p w14:paraId="0FB2F05B">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对境外直接投资额</w:t>
      </w:r>
      <w:r>
        <w:rPr>
          <w:rFonts w:ascii="Times New Roman" w:hAnsi="Times New Roman"/>
          <w:bCs/>
          <w:color w:val="auto"/>
          <w:szCs w:val="24"/>
          <w:highlight w:val="none"/>
        </w:rPr>
        <w:t>指境内投资主体在报告期内直接向其境外企业实现的实际投资额，包括股本投资部分、利润再投资部分以及与公司之间债务交易有关的其他投资部分。</w:t>
      </w:r>
    </w:p>
    <w:p w14:paraId="2C1C1E84">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股本投资</w:t>
      </w:r>
      <w:r>
        <w:rPr>
          <w:rFonts w:ascii="Times New Roman" w:hAnsi="Times New Roman"/>
          <w:bCs/>
          <w:color w:val="auto"/>
          <w:szCs w:val="24"/>
          <w:highlight w:val="none"/>
        </w:rPr>
        <w:t>指境内投资主体在其境外分支机构的股本金，或在其境外子公司和联营公司的股份。</w:t>
      </w:r>
    </w:p>
    <w:p w14:paraId="19D3AFED">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利润再投资</w:t>
      </w:r>
      <w:r>
        <w:rPr>
          <w:rFonts w:ascii="Times New Roman" w:hAnsi="Times New Roman"/>
          <w:bCs/>
          <w:color w:val="auto"/>
          <w:szCs w:val="24"/>
          <w:highlight w:val="none"/>
        </w:rPr>
        <w:t>指境外子公司或联营公司未作为红利分配但应归属于境内投资主体的利润部分，以及境外分支机构未汇给境内投资主体的利润部分。</w:t>
      </w:r>
    </w:p>
    <w:p w14:paraId="497F219F">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其他投资</w:t>
      </w:r>
      <w:r>
        <w:rPr>
          <w:rFonts w:ascii="Times New Roman" w:hAnsi="Times New Roman"/>
          <w:bCs/>
          <w:color w:val="auto"/>
          <w:szCs w:val="24"/>
          <w:highlight w:val="none"/>
        </w:rPr>
        <w:t>指境内投资主体和境外子公司、分支机构以及联营公司之间的债务交易等，包括境内投资主体向境外子公司提供的贷款和境外子公司向境内投资主体提供的贷款。</w:t>
      </w:r>
    </w:p>
    <w:p w14:paraId="7CF6684C">
      <w:pPr>
        <w:shd w:val="clear" w:color="auto" w:fill="auto"/>
        <w:spacing w:line="400" w:lineRule="exact"/>
        <w:ind w:firstLine="420" w:firstLineChars="200"/>
        <w:rPr>
          <w:rFonts w:hint="eastAsia" w:eastAsia="宋体"/>
          <w:bCs/>
          <w:color w:val="auto"/>
          <w:highlight w:val="none"/>
        </w:rPr>
      </w:pPr>
      <w:r>
        <w:rPr>
          <w:rFonts w:hint="eastAsia" w:eastAsia="黑体"/>
          <w:bCs/>
          <w:color w:val="auto"/>
          <w:highlight w:val="none"/>
        </w:rPr>
        <w:t>固定资产投资额</w:t>
      </w:r>
      <w:r>
        <w:rPr>
          <w:rFonts w:hint="eastAsia" w:eastAsia="宋体"/>
          <w:bCs/>
          <w:color w:val="auto"/>
          <w:highlight w:val="none"/>
        </w:rPr>
        <w:t>指以货币形式表现的在一定时期内建造和购置固定资产的工作量以及与此有关的费用的总称。固定资产投资统计范围不包括：</w:t>
      </w:r>
    </w:p>
    <w:p w14:paraId="24001F2C">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（1）不属于固定资产的。</w:t>
      </w:r>
    </w:p>
    <w:p w14:paraId="6B84C49C">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①流动资产。无论是否与固定资产投资项目相关，均不能纳入固定资产投资统计范围。</w:t>
      </w:r>
    </w:p>
    <w:p w14:paraId="3AE5C780">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②消耗品，如办公耗材（低值易耗品）等。</w:t>
      </w:r>
    </w:p>
    <w:p w14:paraId="5AD56E1F">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③投资品，如股票（或股权）、期货、金融衍生产品、古玩字画、文艺作品等。</w:t>
      </w:r>
    </w:p>
    <w:p w14:paraId="064F0109">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④消耗性生物资产，如农作物、待售林木和花卉、存栏待售的牲畜（非种畜、役畜）等。</w:t>
      </w:r>
    </w:p>
    <w:p w14:paraId="1BF5A14B">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⑤发放给农户的货币补贴，如美丽乡村、新农村建设等项目中的补贴。</w:t>
      </w:r>
    </w:p>
    <w:p w14:paraId="720191CB">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⑥投资统计制度规定的其他不应纳入投资统计范围的内容。</w:t>
      </w:r>
    </w:p>
    <w:p w14:paraId="7CB54244">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（2）相关支出在会计上作为成本费用处理的建设活动。</w:t>
      </w:r>
    </w:p>
    <w:p w14:paraId="2925D883">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一般包括大修理、养护、维护性质的工程，如设备维修、建筑物翻修和加固、单纯装饰装修、农田水利工程（堤防、水库）维修、铁路大修、道路日常养护、景观维护等。这类建设活动未替换原有的固定资产，也没有增加新的固定资产，属于生产范畴，不属于投资活动。</w:t>
      </w:r>
    </w:p>
    <w:p w14:paraId="6F05B2A1">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（3）会造成重复统计的。</w:t>
      </w:r>
    </w:p>
    <w:p w14:paraId="52CB757C">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一般包括单纯购置的旧建筑物和旧设备、临时性租赁租入（融资租赁除外）的固定资产、单位购置的商品房（包括主管部门购置商品房转换为保障性住房）、单纯土地平整、土地一级开发、围海造地等。这类建设项目虽然符合固定资产投资属性，但由于其相关支出已经在前期统计或将在后期建设时进行统计，为避免重复统计，上述内容不纳入固定资产投资统计范围。</w:t>
      </w:r>
    </w:p>
    <w:p w14:paraId="6EC20D33">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下列内容应纳入固定资产投资统计范围：</w:t>
      </w:r>
    </w:p>
    <w:p w14:paraId="682345F1">
      <w:pPr>
        <w:shd w:val="clear" w:color="auto" w:fill="auto"/>
        <w:spacing w:line="400" w:lineRule="exact"/>
        <w:ind w:firstLine="420" w:firstLineChars="200"/>
        <w:rPr>
          <w:rFonts w:hint="eastAsia" w:eastAsia="宋体"/>
          <w:bCs/>
          <w:color w:val="auto"/>
          <w:highlight w:val="none"/>
        </w:rPr>
      </w:pPr>
      <w:r>
        <w:rPr>
          <w:rFonts w:hint="eastAsia" w:eastAsia="宋体"/>
          <w:bCs/>
          <w:color w:val="auto"/>
          <w:highlight w:val="none"/>
        </w:rPr>
        <w:t>（1）对现有固定资产进行投入再建设，改变其使用价值，调查单位在会计上进行资本化处理，且达到投资项目报送起点的项目，可纳入固定资产投资统计范围。如在现有道路基础上进行路面拓宽（如4车道扩为6车道）或升级（如低等级道路升级为高等级公路）。</w:t>
      </w:r>
    </w:p>
    <w:p w14:paraId="01B99D0E">
      <w:pPr>
        <w:adjustRightInd w:val="0"/>
        <w:snapToGrid w:val="0"/>
        <w:spacing w:line="400" w:lineRule="exact"/>
        <w:ind w:firstLine="420"/>
        <w:jc w:val="left"/>
        <w:rPr>
          <w:rFonts w:ascii="Times New Roman" w:hAnsi="Times New Roman"/>
          <w:bCs/>
          <w:color w:val="auto"/>
          <w:szCs w:val="24"/>
          <w:highlight w:val="none"/>
        </w:rPr>
      </w:pPr>
      <w:r>
        <w:rPr>
          <w:rFonts w:hint="eastAsia" w:eastAsia="宋体"/>
          <w:bCs/>
          <w:color w:val="auto"/>
          <w:highlight w:val="none"/>
        </w:rPr>
        <w:t>（2）生产性生物资产，如种畜、役畜和各种经济林木；公益性生物资产，如防风固沙林、水土保持林和水源涵养林；新建城市绿化或道路绿化项目中购置的苗木等，可纳入固定资产投资统计，填入其他费用。</w:t>
      </w:r>
    </w:p>
    <w:p w14:paraId="33A27DEE">
      <w:pPr>
        <w:adjustRightInd w:val="0"/>
        <w:snapToGrid w:val="0"/>
        <w:spacing w:line="400" w:lineRule="exact"/>
        <w:ind w:firstLine="420" w:firstLineChars="200"/>
        <w:rPr>
          <w:rFonts w:hint="eastAsia" w:ascii="Times New Roman" w:hAnsi="Times New Roman"/>
          <w:bCs/>
          <w:color w:val="auto"/>
          <w:szCs w:val="24"/>
          <w:highlight w:val="none"/>
        </w:rPr>
      </w:pPr>
      <w:r>
        <w:rPr>
          <w:rFonts w:ascii="Times New Roman" w:hAnsi="Times New Roman" w:eastAsia="黑体"/>
          <w:bCs/>
          <w:color w:val="auto"/>
          <w:szCs w:val="21"/>
          <w:highlight w:val="none"/>
        </w:rPr>
        <w:t>能源消费量</w:t>
      </w:r>
      <w:r>
        <w:rPr>
          <w:rFonts w:hint="eastAsia" w:ascii="Times New Roman" w:hAnsi="Times New Roman"/>
          <w:bCs/>
          <w:color w:val="auto"/>
          <w:szCs w:val="24"/>
          <w:highlight w:val="none"/>
        </w:rPr>
        <w:t>指能源使用企业（单位）在报告期内实际消费的各种能源的数量。能源消费量分实物量和标准量两种。能源消费实物量是按照报表规定的、体现物质形态属性的计量单位（如：吨、立方米）计算的能源消费量；能源消费标准量是按照能源标准计量单位（如：吨标准煤）计算的能源消费量。</w:t>
      </w:r>
    </w:p>
    <w:p w14:paraId="37D80732">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能源消费量的统计原则：</w:t>
      </w:r>
    </w:p>
    <w:p w14:paraId="430AB6B0">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（1）谁消费、谁统计。即不论其所有权的归属，由哪个单位消费，就由哪个单位统计其消费量。</w:t>
      </w:r>
    </w:p>
    <w:p w14:paraId="7C723E52">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（2）何时投入使用，何时计算消费量。企业的能源消费，在时间、工艺界限上，以投入第一道生产工序为标志，即投入第一道生产工序即计算消费；何时投入第一道生产工序，何时计算消费量。</w:t>
      </w:r>
    </w:p>
    <w:p w14:paraId="5E900E9B">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（3）在计算企业（单位）的综合能源消费量时，不得重复计算，要扣除二次能源的产出量和余热、余能的回收利用量。</w:t>
      </w:r>
    </w:p>
    <w:p w14:paraId="67B37409">
      <w:pPr>
        <w:adjustRightInd w:val="0"/>
        <w:snapToGrid w:val="0"/>
        <w:spacing w:line="400" w:lineRule="exact"/>
        <w:ind w:firstLine="420" w:firstLineChars="200"/>
        <w:rPr>
          <w:rFonts w:hint="eastAsia" w:ascii="Times New Roman" w:hAnsi="Times New Roman"/>
          <w:bCs/>
          <w:color w:val="auto"/>
          <w:szCs w:val="24"/>
          <w:highlight w:val="none"/>
        </w:rPr>
      </w:pPr>
      <w:r>
        <w:rPr>
          <w:rFonts w:hint="eastAsia" w:ascii="Times New Roman" w:hAnsi="Times New Roman"/>
          <w:bCs/>
          <w:color w:val="auto"/>
          <w:szCs w:val="24"/>
          <w:highlight w:val="none"/>
        </w:rPr>
        <w:t>（4）耗能工质（如水、氧气、压缩空气等），不论是外购的还是自产自用的，均不统计在能源消费量中（计算单位产品能耗时是否包括耗能工质，视统计指标的具体规定而定）。</w:t>
      </w:r>
    </w:p>
    <w:p w14:paraId="6CB678DF">
      <w:pPr>
        <w:adjustRightInd w:val="0"/>
        <w:snapToGrid w:val="0"/>
        <w:spacing w:line="400" w:lineRule="exact"/>
        <w:ind w:firstLine="420" w:firstLineChars="200"/>
        <w:rPr>
          <w:rFonts w:ascii="Times New Roman" w:hAnsi="Times New Roman"/>
          <w:bCs/>
          <w:color w:val="auto"/>
          <w:szCs w:val="24"/>
          <w:highlight w:val="none"/>
        </w:rPr>
      </w:pPr>
      <w:r>
        <w:rPr>
          <w:rFonts w:hint="eastAsia" w:ascii="Times New Roman" w:hAnsi="Times New Roman"/>
          <w:bCs/>
          <w:color w:val="auto"/>
          <w:szCs w:val="24"/>
          <w:highlight w:val="none"/>
        </w:rPr>
        <w:t>（5）企业自产的能源，作为企业生产另一种产品的原料或燃料，是否计算消费量，视以下两种情况而定：一是自产的能源如果计算产量，消费时则计算消费量，二是自产的能源如果不计算产量，消费时则不计算消费量，视同产品生产过程中的半成品和中间产品。原则是：计算产量，则计算消费；不计算产量，则不计算消费。</w:t>
      </w:r>
    </w:p>
    <w:p w14:paraId="0D1A7A57">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规模以上工业企业及重点能耗企业综合能源消费量</w:t>
      </w:r>
      <w:r>
        <w:rPr>
          <w:rFonts w:ascii="Times New Roman" w:hAnsi="Times New Roman"/>
          <w:bCs/>
          <w:color w:val="auto"/>
          <w:szCs w:val="24"/>
          <w:highlight w:val="none"/>
        </w:rPr>
        <w:t>是指调查单位在报告期内生产经营活动过程中实际消费的各种能源（扣除能源加工转换和能源回收利用等重复因素）的总和。</w:t>
      </w:r>
    </w:p>
    <w:p w14:paraId="75064BBB">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工业企业能源消费量</w:t>
      </w:r>
      <w:r>
        <w:rPr>
          <w:rFonts w:ascii="Times New Roman" w:hAnsi="Times New Roman"/>
          <w:bCs/>
          <w:color w:val="auto"/>
          <w:szCs w:val="24"/>
          <w:highlight w:val="none"/>
        </w:rPr>
        <w:t>是指工业企业在工业生产活动中消费的能源，包括工业生产活动中作为燃料、动力、原料、辅助材料使用的能源，生产工艺中使用的能源，用于能源加工转换的能源。具体包括：</w:t>
      </w:r>
    </w:p>
    <w:p w14:paraId="11E03D44">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（1）用于本企业产品生产、工业性作业和其他生产性活动的能源；</w:t>
      </w:r>
    </w:p>
    <w:p w14:paraId="1A9525D5">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（2）用于技术更新改造措施、新技术研究和新产品试制以及科学试验等方面的能源；</w:t>
      </w:r>
    </w:p>
    <w:p w14:paraId="512A7510">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（3）用于经营维修、建筑及设备大修理、机电设备和交通运输工具等方面的能源；</w:t>
      </w:r>
    </w:p>
    <w:p w14:paraId="3D78E574">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（4）用于劳动保护的能源；</w:t>
      </w:r>
    </w:p>
    <w:p w14:paraId="0EC25254">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（5）生产交通运输工具的企业（如造船厂、汽车制造厂），向成品轮船、汽车中添加动力用油，应算作企业的能源消费，但不作为工业生产消费，应作为非工业生产消费和交通运输工具消费；</w:t>
      </w:r>
    </w:p>
    <w:p w14:paraId="0ABF3C9A">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（6）其他非生产消费的能源。</w:t>
      </w:r>
    </w:p>
    <w:p w14:paraId="459F21B8">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不包括：</w:t>
      </w:r>
    </w:p>
    <w:p w14:paraId="558FCA73">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（1）由仓库发到车间，但在报告期最后一天没有消费的能源。这部分能源应在办理假退料手续后计入库存量；</w:t>
      </w:r>
    </w:p>
    <w:p w14:paraId="6BBD6DA5">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（2）拨到外单位，委托外单位加工用的能源；</w:t>
      </w:r>
    </w:p>
    <w:p w14:paraId="7995B4B7">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（3）调出本单位或借给外单位的能源。</w:t>
      </w:r>
    </w:p>
    <w:p w14:paraId="0E6305D6">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非工业企业能源消费量</w:t>
      </w:r>
      <w:r>
        <w:rPr>
          <w:rFonts w:ascii="Times New Roman" w:hAnsi="Times New Roman"/>
          <w:bCs/>
          <w:color w:val="auto"/>
          <w:szCs w:val="24"/>
          <w:highlight w:val="none"/>
        </w:rPr>
        <w:t>指不是工业企业的法人单位所消费的各种能源，具体指建筑业和第三产业的企事业法人单位。其能源消费主要包括：（1）用于生产经营活动的能源；（2）用于技术更新改造措施、新技术研究以及科学试验等方面的能源；（3）用于经营维修、建筑及设备大修理、机电设备和交通运输工具等方面的能源；（4）用于劳动保护的能源；（5）其他非生产消费的能源。</w:t>
      </w:r>
    </w:p>
    <w:p w14:paraId="18C2AB95">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计算综合能源消费量时，需要将各种能源品种的消费量换算成按照标准计量单位（如：标准煤）计量的消费量。不同法人单位的计算方法如下：</w:t>
      </w:r>
    </w:p>
    <w:p w14:paraId="20B66AC0">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（1）工业企业综合能源消费量的填报见国家统计局一套表中《能源购进、消费与库存》（205-1表）。</w:t>
      </w:r>
    </w:p>
    <w:p w14:paraId="33E347C3">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（2）非工业企业法人单位的能源消费合计=∑（某能源品种的消费量×某能源品种的折标准煤系数）。</w:t>
      </w:r>
    </w:p>
    <w:p w14:paraId="1B241712">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非工业重点耗能单位的能源消费合计（吨标准煤）=电力消费量（千瓦时）×0.1229/1000+煤炭消费量（吨）×0.7143+焦炭消费量（吨）×0.9714+煤气消费量（立方米）×0.5714/1000+</w:t>
      </w:r>
      <w:r>
        <w:rPr>
          <w:rFonts w:hint="eastAsia" w:ascii="Times New Roman" w:hAnsi="Times New Roman"/>
          <w:bCs/>
          <w:color w:val="auto"/>
          <w:szCs w:val="24"/>
          <w:highlight w:val="none"/>
          <w:lang w:eastAsia="zh-CN"/>
        </w:rPr>
        <w:t>天然气</w:t>
      </w:r>
      <w:r>
        <w:rPr>
          <w:rFonts w:ascii="Times New Roman" w:hAnsi="Times New Roman"/>
          <w:bCs/>
          <w:color w:val="auto"/>
          <w:szCs w:val="24"/>
          <w:highlight w:val="none"/>
        </w:rPr>
        <w:t>消费量（立方米）×1.33/1000+液化石油气消费量（吨）×1.7143+汽油消费量（吨）×1.4714+煤油消费量（吨）×1.4714+柴油消费量（吨）×1.4571+燃料油消费量（吨）×1.4286+外购热力消费量（百万千焦）×0.0341。计算时，各品种的计量单位必须与上述公式中的计量单位保持一致。部分能源品种换算关系如下：汽油1升=0.73千克=0.00073吨，轻柴油1升=0.86千克=0.00086吨，重柴油1升=0.92千克=0.00092吨，煤油1升=0.82千克=0.00082吨，燃料油1升=0.91千克=0.00091吨。</w:t>
      </w:r>
    </w:p>
    <w:p w14:paraId="6B7D7942">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若企业有以上类型之外的能源消费，请与当地统计部门联系确定其计量单位和折标准煤系数。</w:t>
      </w:r>
    </w:p>
    <w:p w14:paraId="1B86CA26">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规模以上工业企业及重点能耗企业综合能源消费量指标，仅由规上工业企业以及年综合能源消费量1万吨标准煤及以上的重点耗能单位填报。填报时可根据规上工业企业及重点能耗企业填报的国家统计局能源报表抄报。</w:t>
      </w:r>
    </w:p>
    <w:p w14:paraId="0128A54D">
      <w:pPr>
        <w:adjustRightInd w:val="0"/>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创业风险投资机构</w:t>
      </w:r>
      <w:r>
        <w:rPr>
          <w:rFonts w:ascii="Times New Roman" w:hAnsi="Times New Roman"/>
          <w:bCs/>
          <w:color w:val="auto"/>
          <w:szCs w:val="24"/>
          <w:highlight w:val="none"/>
        </w:rPr>
        <w:t>也可称为“创业风险投资基金”，为主要从事创业投资业务的投资性机构。创业风险投资机构是指通过向处于创建和重建过程中的未</w:t>
      </w:r>
      <w:r>
        <w:rPr>
          <w:color w:val="auto"/>
          <w:highlight w:val="none"/>
        </w:rPr>
        <w:fldChar w:fldCharType="begin"/>
      </w:r>
      <w:r>
        <w:rPr>
          <w:color w:val="auto"/>
          <w:highlight w:val="none"/>
        </w:rPr>
        <w:instrText xml:space="preserve"> HYPERLINK "http://baike.baidu.com/view/4598759.htm" </w:instrText>
      </w:r>
      <w:r>
        <w:rPr>
          <w:color w:val="auto"/>
          <w:highlight w:val="none"/>
        </w:rPr>
        <w:fldChar w:fldCharType="separate"/>
      </w:r>
      <w:r>
        <w:rPr>
          <w:rFonts w:ascii="Times New Roman" w:hAnsi="Times New Roman"/>
          <w:bCs/>
          <w:color w:val="auto"/>
          <w:szCs w:val="24"/>
          <w:highlight w:val="none"/>
        </w:rPr>
        <w:t>上市企业</w:t>
      </w:r>
      <w:r>
        <w:rPr>
          <w:rFonts w:ascii="Times New Roman" w:hAnsi="Times New Roman"/>
          <w:bCs/>
          <w:color w:val="auto"/>
          <w:szCs w:val="24"/>
          <w:highlight w:val="none"/>
        </w:rPr>
        <w:fldChar w:fldCharType="end"/>
      </w:r>
      <w:r>
        <w:rPr>
          <w:rFonts w:ascii="Times New Roman" w:hAnsi="Times New Roman"/>
          <w:bCs/>
          <w:color w:val="auto"/>
          <w:szCs w:val="24"/>
          <w:highlight w:val="none"/>
        </w:rPr>
        <w:t>进行</w:t>
      </w:r>
      <w:r>
        <w:rPr>
          <w:color w:val="auto"/>
          <w:highlight w:val="none"/>
        </w:rPr>
        <w:fldChar w:fldCharType="begin"/>
      </w:r>
      <w:r>
        <w:rPr>
          <w:color w:val="auto"/>
          <w:highlight w:val="none"/>
        </w:rPr>
        <w:instrText xml:space="preserve"> HYPERLINK "http://baike.baidu.com/view/813066.htm" </w:instrText>
      </w:r>
      <w:r>
        <w:rPr>
          <w:color w:val="auto"/>
          <w:highlight w:val="none"/>
        </w:rPr>
        <w:fldChar w:fldCharType="separate"/>
      </w:r>
      <w:r>
        <w:rPr>
          <w:rFonts w:ascii="Times New Roman" w:hAnsi="Times New Roman"/>
          <w:bCs/>
          <w:color w:val="auto"/>
          <w:szCs w:val="24"/>
          <w:highlight w:val="none"/>
        </w:rPr>
        <w:t>股权投资</w:t>
      </w:r>
      <w:r>
        <w:rPr>
          <w:rFonts w:ascii="Times New Roman" w:hAnsi="Times New Roman"/>
          <w:bCs/>
          <w:color w:val="auto"/>
          <w:szCs w:val="24"/>
          <w:highlight w:val="none"/>
        </w:rPr>
        <w:fldChar w:fldCharType="end"/>
      </w:r>
      <w:r>
        <w:rPr>
          <w:rFonts w:ascii="Times New Roman" w:hAnsi="Times New Roman"/>
          <w:bCs/>
          <w:color w:val="auto"/>
          <w:szCs w:val="24"/>
          <w:highlight w:val="none"/>
        </w:rPr>
        <w:t>，并为其提供管理和经营服务，以期在企业发展成熟或相对成熟后，通过</w:t>
      </w:r>
      <w:r>
        <w:rPr>
          <w:color w:val="auto"/>
          <w:highlight w:val="none"/>
        </w:rPr>
        <w:fldChar w:fldCharType="begin"/>
      </w:r>
      <w:r>
        <w:rPr>
          <w:color w:val="auto"/>
          <w:highlight w:val="none"/>
        </w:rPr>
        <w:instrText xml:space="preserve"> HYPERLINK "http://baike.baidu.com/view/31950.htm" </w:instrText>
      </w:r>
      <w:r>
        <w:rPr>
          <w:color w:val="auto"/>
          <w:highlight w:val="none"/>
        </w:rPr>
        <w:fldChar w:fldCharType="separate"/>
      </w:r>
      <w:r>
        <w:rPr>
          <w:rFonts w:ascii="Times New Roman" w:hAnsi="Times New Roman"/>
          <w:bCs/>
          <w:color w:val="auto"/>
          <w:szCs w:val="24"/>
          <w:highlight w:val="none"/>
        </w:rPr>
        <w:t>股权转让</w:t>
      </w:r>
      <w:r>
        <w:rPr>
          <w:rFonts w:ascii="Times New Roman" w:hAnsi="Times New Roman"/>
          <w:bCs/>
          <w:color w:val="auto"/>
          <w:szCs w:val="24"/>
          <w:highlight w:val="none"/>
        </w:rPr>
        <w:fldChar w:fldCharType="end"/>
      </w:r>
      <w:r>
        <w:rPr>
          <w:rFonts w:ascii="Times New Roman" w:hAnsi="Times New Roman"/>
          <w:bCs/>
          <w:color w:val="auto"/>
          <w:szCs w:val="24"/>
          <w:highlight w:val="none"/>
        </w:rPr>
        <w:t>获取</w:t>
      </w:r>
      <w:r>
        <w:rPr>
          <w:color w:val="auto"/>
          <w:highlight w:val="none"/>
        </w:rPr>
        <w:fldChar w:fldCharType="begin"/>
      </w:r>
      <w:r>
        <w:rPr>
          <w:color w:val="auto"/>
          <w:highlight w:val="none"/>
        </w:rPr>
        <w:instrText xml:space="preserve"> HYPERLINK "http://baike.baidu.com/view/366366.htm" </w:instrText>
      </w:r>
      <w:r>
        <w:rPr>
          <w:color w:val="auto"/>
          <w:highlight w:val="none"/>
        </w:rPr>
        <w:fldChar w:fldCharType="separate"/>
      </w:r>
      <w:r>
        <w:rPr>
          <w:rFonts w:ascii="Times New Roman" w:hAnsi="Times New Roman"/>
          <w:bCs/>
          <w:color w:val="auto"/>
          <w:szCs w:val="24"/>
          <w:highlight w:val="none"/>
        </w:rPr>
        <w:t>资本增值收益</w:t>
      </w:r>
      <w:r>
        <w:rPr>
          <w:rFonts w:ascii="Times New Roman" w:hAnsi="Times New Roman"/>
          <w:bCs/>
          <w:color w:val="auto"/>
          <w:szCs w:val="24"/>
          <w:highlight w:val="none"/>
        </w:rPr>
        <w:fldChar w:fldCharType="end"/>
      </w:r>
      <w:r>
        <w:rPr>
          <w:rFonts w:ascii="Times New Roman" w:hAnsi="Times New Roman"/>
          <w:bCs/>
          <w:color w:val="auto"/>
          <w:szCs w:val="24"/>
          <w:highlight w:val="none"/>
        </w:rPr>
        <w:t>的投资机构。</w:t>
      </w:r>
    </w:p>
    <w:p w14:paraId="1741210C">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天使投资</w:t>
      </w:r>
      <w:r>
        <w:rPr>
          <w:rFonts w:ascii="Times New Roman" w:hAnsi="Times New Roman"/>
          <w:bCs/>
          <w:color w:val="auto"/>
          <w:highlight w:val="none"/>
        </w:rPr>
        <w:t>是指对已经起步但尚未完成基本产品模型、尚未验证商业模式的早期项目进行的投资，一般由个人出资协助具有专门技术或独特概念但缺少自有资金的创业家进行创业，并承担创业中的高风险和享受创业成功后的高收益，或由自由投资者或非正式风险投资机构对原创项目构思或小型初创企业进行一次性前期投资。天使投资是风险投资的一种特殊形式。</w:t>
      </w:r>
    </w:p>
    <w:p w14:paraId="5ACD40A7">
      <w:pPr>
        <w:adjustRightInd w:val="0"/>
        <w:snapToGrid w:val="0"/>
        <w:spacing w:line="400" w:lineRule="exact"/>
        <w:ind w:firstLine="420" w:firstLineChars="200"/>
        <w:rPr>
          <w:rFonts w:ascii="Times New Roman" w:hAnsi="Times New Roman" w:eastAsia="黑体"/>
          <w:bCs/>
          <w:color w:val="auto"/>
          <w:szCs w:val="21"/>
          <w:highlight w:val="none"/>
        </w:rPr>
      </w:pPr>
      <w:r>
        <w:rPr>
          <w:rFonts w:ascii="Times New Roman" w:hAnsi="Times New Roman" w:eastAsia="黑体"/>
          <w:bCs/>
          <w:color w:val="auto"/>
          <w:szCs w:val="21"/>
          <w:highlight w:val="none"/>
        </w:rPr>
        <w:t>A轮融资</w:t>
      </w:r>
      <w:r>
        <w:rPr>
          <w:rFonts w:ascii="Times New Roman" w:hAnsi="Times New Roman" w:eastAsia="宋体"/>
          <w:bCs/>
          <w:color w:val="auto"/>
          <w:szCs w:val="21"/>
          <w:highlight w:val="none"/>
        </w:rPr>
        <w:t>主要</w:t>
      </w:r>
      <w:r>
        <w:rPr>
          <w:rFonts w:ascii="Times New Roman" w:hAnsi="Times New Roman"/>
          <w:bCs/>
          <w:color w:val="auto"/>
          <w:szCs w:val="21"/>
          <w:highlight w:val="none"/>
        </w:rPr>
        <w:t>是指对已具备基本产品模型的早中期项目进行的投资，一般由风险投资机构出资，在完善产品模型的基础上，满足商业模式验证的需求。</w:t>
      </w:r>
    </w:p>
    <w:p w14:paraId="65FD0724">
      <w:pPr>
        <w:spacing w:line="400" w:lineRule="exact"/>
        <w:ind w:firstLine="420" w:firstLineChars="200"/>
        <w:rPr>
          <w:rFonts w:ascii="Times New Roman" w:hAnsi="Times New Roman"/>
          <w:bCs/>
          <w:color w:val="auto"/>
          <w:highlight w:val="none"/>
        </w:rPr>
      </w:pPr>
      <w:r>
        <w:rPr>
          <w:rFonts w:ascii="Times New Roman" w:hAnsi="Times New Roman" w:eastAsia="黑体"/>
          <w:bCs/>
          <w:color w:val="auto"/>
          <w:szCs w:val="21"/>
          <w:highlight w:val="none"/>
        </w:rPr>
        <w:t>B轮融资</w:t>
      </w:r>
      <w:r>
        <w:rPr>
          <w:rFonts w:ascii="Times New Roman" w:hAnsi="Times New Roman"/>
          <w:bCs/>
          <w:color w:val="auto"/>
          <w:highlight w:val="none"/>
        </w:rPr>
        <w:t>主要是指对商业模式已被充分验证，业务快速扩张的中期项目进行的投资，一般由风险投资机构或私募基金机构出资，以期迅速完成业务扩张。</w:t>
      </w:r>
    </w:p>
    <w:p w14:paraId="2A2DD261">
      <w:pPr>
        <w:adjustRightInd w:val="0"/>
        <w:snapToGrid w:val="0"/>
        <w:spacing w:line="400" w:lineRule="exact"/>
        <w:ind w:firstLine="420" w:firstLineChars="200"/>
        <w:rPr>
          <w:rFonts w:ascii="Times New Roman" w:hAnsi="Times New Roman"/>
          <w:bCs/>
          <w:color w:val="auto"/>
          <w:highlight w:val="none"/>
        </w:rPr>
      </w:pPr>
      <w:r>
        <w:rPr>
          <w:rFonts w:ascii="Times New Roman" w:hAnsi="Times New Roman" w:eastAsia="黑体"/>
          <w:bCs/>
          <w:color w:val="auto"/>
          <w:szCs w:val="21"/>
          <w:highlight w:val="none"/>
        </w:rPr>
        <w:t>C轮融资</w:t>
      </w:r>
      <w:r>
        <w:rPr>
          <w:rFonts w:ascii="Times New Roman" w:hAnsi="Times New Roman"/>
          <w:bCs/>
          <w:color w:val="auto"/>
          <w:highlight w:val="none"/>
        </w:rPr>
        <w:t>主要是指对已形成规模化盈利能力，在行业内有主导或领导地位的中后期项目进行的投资，一般由私募基金机构出资，补全商业闭环，开始为上市做准备。</w:t>
      </w:r>
    </w:p>
    <w:p w14:paraId="4D89D57D">
      <w:pPr>
        <w:pStyle w:val="9"/>
        <w:spacing w:after="0" w:line="400" w:lineRule="exact"/>
        <w:ind w:firstLine="420" w:firstLineChars="200"/>
        <w:rPr>
          <w:rFonts w:ascii="Times New Roman" w:hAnsi="Times New Roman"/>
          <w:color w:val="auto"/>
          <w:highlight w:val="none"/>
        </w:rPr>
      </w:pPr>
      <w:r>
        <w:rPr>
          <w:rFonts w:ascii="Times New Roman" w:hAnsi="Times New Roman" w:eastAsia="黑体"/>
          <w:color w:val="auto"/>
          <w:highlight w:val="none"/>
        </w:rPr>
        <w:t>当年获得创业风险投资机构的风险投资额</w:t>
      </w:r>
      <w:r>
        <w:rPr>
          <w:rFonts w:ascii="Times New Roman" w:hAnsi="Times New Roman"/>
          <w:color w:val="auto"/>
          <w:highlight w:val="none"/>
        </w:rPr>
        <w:t>填报报告期当年企业获得创业风险投资机构的投资额。</w:t>
      </w:r>
    </w:p>
    <w:p w14:paraId="7407DC01">
      <w:pPr>
        <w:pStyle w:val="4"/>
        <w:rPr>
          <w:rFonts w:ascii="Times New Roman" w:hAnsi="Times New Roman"/>
          <w:bCs w:val="0"/>
          <w:color w:val="auto"/>
          <w:sz w:val="28"/>
          <w:szCs w:val="28"/>
          <w:highlight w:val="none"/>
        </w:rPr>
      </w:pPr>
      <w:r>
        <w:rPr>
          <w:rFonts w:ascii="Times New Roman" w:hAnsi="Times New Roman"/>
          <w:b w:val="0"/>
          <w:color w:val="auto"/>
          <w:sz w:val="28"/>
          <w:szCs w:val="28"/>
          <w:highlight w:val="none"/>
        </w:rPr>
        <w:br w:type="page"/>
      </w:r>
      <w:bookmarkStart w:id="30" w:name="_Toc121734442"/>
      <w:r>
        <w:rPr>
          <w:rFonts w:ascii="Times New Roman" w:hAnsi="Times New Roman"/>
          <w:bCs w:val="0"/>
          <w:color w:val="auto"/>
          <w:sz w:val="28"/>
          <w:szCs w:val="28"/>
          <w:highlight w:val="none"/>
        </w:rPr>
        <w:t>人员概况</w:t>
      </w:r>
      <w:bookmarkEnd w:id="30"/>
    </w:p>
    <w:tbl>
      <w:tblPr>
        <w:tblStyle w:val="34"/>
        <w:tblW w:w="0" w:type="auto"/>
        <w:jc w:val="center"/>
        <w:tblLayout w:type="fixed"/>
        <w:tblCellMar>
          <w:top w:w="0" w:type="dxa"/>
          <w:left w:w="108" w:type="dxa"/>
          <w:bottom w:w="0" w:type="dxa"/>
          <w:right w:w="108" w:type="dxa"/>
        </w:tblCellMar>
      </w:tblPr>
      <w:tblGrid>
        <w:gridCol w:w="3329"/>
        <w:gridCol w:w="3165"/>
        <w:gridCol w:w="1035"/>
        <w:gridCol w:w="1946"/>
      </w:tblGrid>
      <w:tr w14:paraId="17674F1F">
        <w:tblPrEx>
          <w:tblCellMar>
            <w:top w:w="0" w:type="dxa"/>
            <w:left w:w="108" w:type="dxa"/>
            <w:bottom w:w="0" w:type="dxa"/>
            <w:right w:w="108" w:type="dxa"/>
          </w:tblCellMar>
        </w:tblPrEx>
        <w:trPr>
          <w:trHeight w:val="283" w:hRule="atLeast"/>
          <w:jc w:val="center"/>
        </w:trPr>
        <w:tc>
          <w:tcPr>
            <w:tcW w:w="6494" w:type="dxa"/>
            <w:gridSpan w:val="2"/>
            <w:noWrap w:val="0"/>
            <w:vAlign w:val="center"/>
          </w:tcPr>
          <w:p w14:paraId="65B0E66F">
            <w:pPr>
              <w:snapToGrid w:val="0"/>
              <w:spacing w:line="240" w:lineRule="exact"/>
              <w:rPr>
                <w:rFonts w:ascii="Times New Roman" w:hAnsi="Times New Roman"/>
                <w:bCs/>
                <w:color w:val="auto"/>
                <w:sz w:val="18"/>
                <w:szCs w:val="24"/>
                <w:highlight w:val="none"/>
              </w:rPr>
            </w:pPr>
          </w:p>
        </w:tc>
        <w:tc>
          <w:tcPr>
            <w:tcW w:w="1035" w:type="dxa"/>
            <w:noWrap w:val="0"/>
            <w:vAlign w:val="center"/>
          </w:tcPr>
          <w:p w14:paraId="77314BE6">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表号：</w:t>
            </w:r>
          </w:p>
        </w:tc>
        <w:tc>
          <w:tcPr>
            <w:tcW w:w="1946" w:type="dxa"/>
            <w:noWrap w:val="0"/>
            <w:vAlign w:val="center"/>
          </w:tcPr>
          <w:p w14:paraId="62FBEE0F">
            <w:pPr>
              <w:spacing w:line="240" w:lineRule="exact"/>
              <w:jc w:val="right"/>
              <w:rPr>
                <w:rFonts w:ascii="Times New Roman" w:hAnsi="Times New Roman"/>
                <w:bCs/>
                <w:color w:val="auto"/>
                <w:sz w:val="18"/>
                <w:szCs w:val="24"/>
                <w:highlight w:val="none"/>
              </w:rPr>
            </w:pPr>
            <w:r>
              <w:rPr>
                <w:rFonts w:ascii="Times New Roman" w:hAnsi="Times New Roman"/>
                <w:bCs/>
                <w:color w:val="auto"/>
                <w:sz w:val="18"/>
                <w:szCs w:val="18"/>
                <w:highlight w:val="none"/>
              </w:rPr>
              <w:t>ＧＱ－００３</w:t>
            </w:r>
            <w:r>
              <w:rPr>
                <w:rFonts w:ascii="Times New Roman" w:hAnsi="Times New Roman"/>
                <w:bCs/>
                <w:color w:val="auto"/>
                <w:sz w:val="18"/>
                <w:highlight w:val="none"/>
              </w:rPr>
              <w:t>表</w:t>
            </w:r>
          </w:p>
        </w:tc>
      </w:tr>
      <w:tr w14:paraId="70668F75">
        <w:tblPrEx>
          <w:tblCellMar>
            <w:top w:w="0" w:type="dxa"/>
            <w:left w:w="108" w:type="dxa"/>
            <w:bottom w:w="0" w:type="dxa"/>
            <w:right w:w="108" w:type="dxa"/>
          </w:tblCellMar>
        </w:tblPrEx>
        <w:trPr>
          <w:trHeight w:val="283" w:hRule="atLeast"/>
          <w:jc w:val="center"/>
        </w:trPr>
        <w:tc>
          <w:tcPr>
            <w:tcW w:w="6494" w:type="dxa"/>
            <w:gridSpan w:val="2"/>
            <w:noWrap w:val="0"/>
            <w:vAlign w:val="center"/>
          </w:tcPr>
          <w:p w14:paraId="4F675D1C">
            <w:pPr>
              <w:snapToGrid w:val="0"/>
              <w:spacing w:line="240" w:lineRule="exact"/>
              <w:rPr>
                <w:rFonts w:ascii="Times New Roman" w:hAnsi="Times New Roman"/>
                <w:bCs/>
                <w:color w:val="auto"/>
                <w:sz w:val="18"/>
                <w:szCs w:val="24"/>
                <w:highlight w:val="none"/>
              </w:rPr>
            </w:pPr>
          </w:p>
        </w:tc>
        <w:tc>
          <w:tcPr>
            <w:tcW w:w="1035" w:type="dxa"/>
            <w:noWrap w:val="0"/>
            <w:vAlign w:val="center"/>
          </w:tcPr>
          <w:p w14:paraId="38E18A87">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制定机关：</w:t>
            </w:r>
          </w:p>
        </w:tc>
        <w:tc>
          <w:tcPr>
            <w:tcW w:w="1946" w:type="dxa"/>
            <w:noWrap w:val="0"/>
            <w:vAlign w:val="center"/>
          </w:tcPr>
          <w:p w14:paraId="3E5C326D">
            <w:pPr>
              <w:spacing w:line="240" w:lineRule="exact"/>
              <w:jc w:val="right"/>
              <w:rPr>
                <w:rFonts w:ascii="Times New Roman" w:hAnsi="Times New Roman"/>
                <w:bCs/>
                <w:color w:val="auto"/>
                <w:sz w:val="18"/>
                <w:szCs w:val="24"/>
                <w:highlight w:val="none"/>
              </w:rPr>
            </w:pPr>
            <w:r>
              <w:rPr>
                <w:rFonts w:hint="eastAsia" w:ascii="Times New Roman" w:hAnsi="Times New Roman"/>
                <w:bCs/>
                <w:color w:val="auto"/>
                <w:sz w:val="18"/>
                <w:highlight w:val="none"/>
                <w:lang w:val="en-US" w:eastAsia="zh-CN"/>
              </w:rPr>
              <w:t>工业和信息化</w:t>
            </w:r>
            <w:r>
              <w:rPr>
                <w:rFonts w:ascii="Times New Roman" w:hAnsi="Times New Roman"/>
                <w:bCs/>
                <w:color w:val="auto"/>
                <w:sz w:val="18"/>
                <w:highlight w:val="none"/>
              </w:rPr>
              <w:t>部</w:t>
            </w:r>
          </w:p>
        </w:tc>
      </w:tr>
      <w:tr w14:paraId="48B2A1CE">
        <w:tblPrEx>
          <w:tblCellMar>
            <w:top w:w="0" w:type="dxa"/>
            <w:left w:w="108" w:type="dxa"/>
            <w:bottom w:w="0" w:type="dxa"/>
            <w:right w:w="108" w:type="dxa"/>
          </w:tblCellMar>
        </w:tblPrEx>
        <w:trPr>
          <w:trHeight w:val="283" w:hRule="atLeast"/>
          <w:jc w:val="center"/>
        </w:trPr>
        <w:tc>
          <w:tcPr>
            <w:tcW w:w="6494" w:type="dxa"/>
            <w:gridSpan w:val="2"/>
            <w:noWrap w:val="0"/>
            <w:vAlign w:val="center"/>
          </w:tcPr>
          <w:p w14:paraId="01A2827F">
            <w:pPr>
              <w:snapToGrid w:val="0"/>
              <w:spacing w:line="240" w:lineRule="exact"/>
              <w:rPr>
                <w:rFonts w:ascii="宋体" w:hAnsi="宋体"/>
                <w:bCs/>
                <w:color w:val="auto"/>
                <w:sz w:val="18"/>
                <w:szCs w:val="24"/>
                <w:highlight w:val="none"/>
              </w:rPr>
            </w:pPr>
          </w:p>
        </w:tc>
        <w:tc>
          <w:tcPr>
            <w:tcW w:w="1035" w:type="dxa"/>
            <w:noWrap w:val="0"/>
            <w:vAlign w:val="center"/>
          </w:tcPr>
          <w:p w14:paraId="140C002D">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批准机关：</w:t>
            </w:r>
          </w:p>
        </w:tc>
        <w:tc>
          <w:tcPr>
            <w:tcW w:w="1946" w:type="dxa"/>
            <w:noWrap w:val="0"/>
            <w:vAlign w:val="center"/>
          </w:tcPr>
          <w:p w14:paraId="41BBE39B">
            <w:pPr>
              <w:spacing w:line="240" w:lineRule="exact"/>
              <w:jc w:val="right"/>
              <w:rPr>
                <w:rFonts w:ascii="Times New Roman" w:hAnsi="Times New Roman"/>
                <w:bCs/>
                <w:color w:val="auto"/>
                <w:sz w:val="18"/>
                <w:szCs w:val="24"/>
                <w:highlight w:val="none"/>
              </w:rPr>
            </w:pPr>
            <w:r>
              <w:rPr>
                <w:rFonts w:ascii="Times New Roman" w:hAnsi="Times New Roman"/>
                <w:bCs/>
                <w:color w:val="auto"/>
                <w:sz w:val="18"/>
                <w:highlight w:val="none"/>
              </w:rPr>
              <w:t>国家统计局</w:t>
            </w:r>
          </w:p>
        </w:tc>
      </w:tr>
      <w:tr w14:paraId="64D269CA">
        <w:tblPrEx>
          <w:tblCellMar>
            <w:top w:w="0" w:type="dxa"/>
            <w:left w:w="108" w:type="dxa"/>
            <w:bottom w:w="0" w:type="dxa"/>
            <w:right w:w="108" w:type="dxa"/>
          </w:tblCellMar>
        </w:tblPrEx>
        <w:trPr>
          <w:trHeight w:val="283" w:hRule="atLeast"/>
          <w:jc w:val="center"/>
        </w:trPr>
        <w:tc>
          <w:tcPr>
            <w:tcW w:w="6494" w:type="dxa"/>
            <w:gridSpan w:val="2"/>
            <w:noWrap w:val="0"/>
            <w:vAlign w:val="center"/>
          </w:tcPr>
          <w:p w14:paraId="502F987C">
            <w:pPr>
              <w:snapToGrid w:val="0"/>
              <w:spacing w:line="240" w:lineRule="exact"/>
              <w:rPr>
                <w:rFonts w:ascii="宋体" w:hAnsi="宋体"/>
                <w:bCs/>
                <w:color w:val="auto"/>
                <w:sz w:val="18"/>
                <w:szCs w:val="24"/>
                <w:highlight w:val="none"/>
              </w:rPr>
            </w:pPr>
            <w:r>
              <w:rPr>
                <w:rFonts w:ascii="宋体" w:hAnsi="宋体"/>
                <w:bCs/>
                <w:color w:val="auto"/>
                <w:sz w:val="18"/>
                <w:szCs w:val="24"/>
                <w:highlight w:val="none"/>
              </w:rPr>
              <w:t>统一社会信用代码</w:t>
            </w:r>
            <w:r>
              <w:rPr>
                <w:rFonts w:ascii="宋体" w:hAnsi="宋体"/>
                <w:bCs/>
                <w:color w:val="auto"/>
                <w:sz w:val="18"/>
                <w:szCs w:val="18"/>
                <w:highlight w:val="none"/>
              </w:rPr>
              <w:t>□□□□□□□□□□□□□□□□□□</w:t>
            </w:r>
          </w:p>
        </w:tc>
        <w:tc>
          <w:tcPr>
            <w:tcW w:w="1035" w:type="dxa"/>
            <w:noWrap w:val="0"/>
            <w:vAlign w:val="center"/>
          </w:tcPr>
          <w:p w14:paraId="65FA31B0">
            <w:pPr>
              <w:pStyle w:val="139"/>
              <w:tabs>
                <w:tab w:val="left" w:pos="730"/>
              </w:tabs>
              <w:autoSpaceDE/>
              <w:autoSpaceDN/>
              <w:adjustRightInd/>
              <w:spacing w:before="14" w:line="240" w:lineRule="exact"/>
              <w:jc w:val="both"/>
              <w:rPr>
                <w:rFonts w:ascii="Times New Roman" w:hAnsi="Times New Roman"/>
                <w:bCs/>
                <w:color w:val="auto"/>
                <w:sz w:val="18"/>
                <w:szCs w:val="18"/>
                <w:highlight w:val="none"/>
              </w:rPr>
            </w:pPr>
            <w:r>
              <w:rPr>
                <w:rFonts w:ascii="Times New Roman" w:hAnsi="Times New Roman"/>
                <w:bCs/>
                <w:color w:val="auto"/>
                <w:sz w:val="18"/>
                <w:szCs w:val="18"/>
                <w:highlight w:val="none"/>
              </w:rPr>
              <w:t>批准文号：</w:t>
            </w:r>
          </w:p>
        </w:tc>
        <w:tc>
          <w:tcPr>
            <w:tcW w:w="1946" w:type="dxa"/>
            <w:noWrap w:val="0"/>
            <w:vAlign w:val="center"/>
          </w:tcPr>
          <w:p w14:paraId="5CFB658E">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国统制〔202</w:t>
            </w:r>
            <w:r>
              <w:rPr>
                <w:rFonts w:hint="eastAsia" w:ascii="Times New Roman" w:hAnsi="Times New Roman"/>
                <w:bCs/>
                <w:color w:val="auto"/>
                <w:sz w:val="18"/>
                <w:highlight w:val="none"/>
                <w:lang w:val="en-US" w:eastAsia="zh-CN"/>
              </w:rPr>
              <w:t>4</w:t>
            </w:r>
            <w:r>
              <w:rPr>
                <w:rFonts w:ascii="Times New Roman" w:hAnsi="Times New Roman"/>
                <w:bCs/>
                <w:color w:val="auto"/>
                <w:sz w:val="18"/>
                <w:highlight w:val="none"/>
              </w:rPr>
              <w:t>〕</w:t>
            </w:r>
            <w:r>
              <w:rPr>
                <w:rFonts w:hint="eastAsia" w:ascii="Times New Roman" w:hAnsi="Times New Roman"/>
                <w:bCs/>
                <w:color w:val="auto"/>
                <w:sz w:val="18"/>
                <w:highlight w:val="none"/>
                <w:lang w:val="en-US" w:eastAsia="zh-CN"/>
              </w:rPr>
              <w:t>187</w:t>
            </w:r>
            <w:r>
              <w:rPr>
                <w:rFonts w:ascii="Times New Roman" w:hAnsi="Times New Roman"/>
                <w:bCs/>
                <w:color w:val="auto"/>
                <w:sz w:val="18"/>
                <w:highlight w:val="none"/>
              </w:rPr>
              <w:t>号</w:t>
            </w:r>
          </w:p>
        </w:tc>
      </w:tr>
      <w:tr w14:paraId="4F7F635D">
        <w:tblPrEx>
          <w:tblCellMar>
            <w:top w:w="0" w:type="dxa"/>
            <w:left w:w="108" w:type="dxa"/>
            <w:bottom w:w="0" w:type="dxa"/>
            <w:right w:w="108" w:type="dxa"/>
          </w:tblCellMar>
        </w:tblPrEx>
        <w:trPr>
          <w:trHeight w:val="283" w:hRule="atLeast"/>
          <w:jc w:val="center"/>
        </w:trPr>
        <w:tc>
          <w:tcPr>
            <w:tcW w:w="3329" w:type="dxa"/>
            <w:noWrap w:val="0"/>
            <w:vAlign w:val="center"/>
          </w:tcPr>
          <w:p w14:paraId="7A7EC70D">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企业（单位）详细名称：</w:t>
            </w:r>
          </w:p>
        </w:tc>
        <w:tc>
          <w:tcPr>
            <w:tcW w:w="3165" w:type="dxa"/>
            <w:noWrap w:val="0"/>
            <w:vAlign w:val="center"/>
          </w:tcPr>
          <w:p w14:paraId="02428976">
            <w:pPr>
              <w:snapToGrid w:val="0"/>
              <w:spacing w:line="24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２０</w:t>
            </w:r>
            <w:r>
              <w:rPr>
                <w:rFonts w:hint="eastAsia"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rPr>
              <w:t>年</w:t>
            </w:r>
          </w:p>
        </w:tc>
        <w:tc>
          <w:tcPr>
            <w:tcW w:w="1035" w:type="dxa"/>
            <w:noWrap w:val="0"/>
            <w:vAlign w:val="center"/>
          </w:tcPr>
          <w:p w14:paraId="2BF32911">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有效期至：</w:t>
            </w:r>
          </w:p>
        </w:tc>
        <w:tc>
          <w:tcPr>
            <w:tcW w:w="1946" w:type="dxa"/>
            <w:noWrap w:val="0"/>
            <w:vAlign w:val="center"/>
          </w:tcPr>
          <w:p w14:paraId="04F26BBC">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szCs w:val="18"/>
                <w:highlight w:val="none"/>
                <w:lang w:val="en-US" w:eastAsia="zh-CN"/>
              </w:rPr>
              <w:t>2027</w:t>
            </w:r>
            <w:r>
              <w:rPr>
                <w:rFonts w:ascii="Times New Roman" w:hAnsi="Times New Roman"/>
                <w:bCs/>
                <w:color w:val="auto"/>
                <w:sz w:val="18"/>
                <w:highlight w:val="none"/>
              </w:rPr>
              <w:t>年</w:t>
            </w:r>
            <w:r>
              <w:rPr>
                <w:rFonts w:hint="eastAsia" w:ascii="Times New Roman" w:hAnsi="Times New Roman"/>
                <w:bCs/>
                <w:color w:val="auto"/>
                <w:sz w:val="18"/>
                <w:highlight w:val="none"/>
                <w:lang w:val="en-US" w:eastAsia="zh-CN"/>
              </w:rPr>
              <w:t>12</w:t>
            </w:r>
            <w:r>
              <w:rPr>
                <w:rFonts w:ascii="Times New Roman" w:hAnsi="Times New Roman"/>
                <w:bCs/>
                <w:color w:val="auto"/>
                <w:sz w:val="18"/>
                <w:highlight w:val="none"/>
              </w:rPr>
              <w:t>月</w:t>
            </w:r>
          </w:p>
        </w:tc>
      </w:tr>
    </w:tbl>
    <w:p w14:paraId="6F7604D9">
      <w:pPr>
        <w:rPr>
          <w:rFonts w:ascii="Times New Roman" w:hAnsi="Times New Roman"/>
          <w:bCs/>
          <w:vanish/>
          <w:color w:val="auto"/>
          <w:szCs w:val="24"/>
          <w:highlight w:val="none"/>
        </w:rPr>
      </w:pPr>
    </w:p>
    <w:tbl>
      <w:tblPr>
        <w:tblStyle w:val="34"/>
        <w:tblpPr w:leftFromText="180" w:rightFromText="180" w:vertAnchor="text" w:horzAnchor="margin" w:tblpXSpec="center" w:tblpY="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8"/>
        <w:gridCol w:w="1418"/>
        <w:gridCol w:w="1275"/>
        <w:gridCol w:w="1509"/>
      </w:tblGrid>
      <w:tr w14:paraId="1C2FB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8" w:space="0"/>
              <w:left w:val="nil"/>
              <w:bottom w:val="single" w:color="auto" w:sz="2" w:space="0"/>
              <w:right w:val="single" w:color="auto" w:sz="4" w:space="0"/>
            </w:tcBorders>
            <w:noWrap w:val="0"/>
            <w:vAlign w:val="center"/>
          </w:tcPr>
          <w:p w14:paraId="57B23D84">
            <w:pPr>
              <w:adjustRightInd w:val="0"/>
              <w:snapToGrid w:val="0"/>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指标名称</w:t>
            </w:r>
          </w:p>
        </w:tc>
        <w:tc>
          <w:tcPr>
            <w:tcW w:w="1418" w:type="dxa"/>
            <w:tcBorders>
              <w:top w:val="single" w:color="auto" w:sz="8" w:space="0"/>
              <w:left w:val="single" w:color="auto" w:sz="4" w:space="0"/>
              <w:bottom w:val="single" w:color="auto" w:sz="2" w:space="0"/>
              <w:right w:val="nil"/>
            </w:tcBorders>
            <w:noWrap w:val="0"/>
            <w:vAlign w:val="center"/>
          </w:tcPr>
          <w:p w14:paraId="0467A35A">
            <w:pPr>
              <w:adjustRightInd w:val="0"/>
              <w:snapToGrid w:val="0"/>
              <w:spacing w:line="280" w:lineRule="exact"/>
              <w:jc w:val="center"/>
              <w:rPr>
                <w:rFonts w:ascii="Times New Roman" w:hAnsi="Times New Roman"/>
                <w:bCs/>
                <w:color w:val="auto"/>
                <w:szCs w:val="24"/>
                <w:highlight w:val="none"/>
              </w:rPr>
            </w:pPr>
            <w:r>
              <w:rPr>
                <w:rFonts w:ascii="Times New Roman" w:hAnsi="Times New Roman"/>
                <w:bCs/>
                <w:color w:val="auto"/>
                <w:sz w:val="18"/>
                <w:szCs w:val="24"/>
                <w:highlight w:val="none"/>
              </w:rPr>
              <w:t>计量单位</w:t>
            </w:r>
          </w:p>
        </w:tc>
        <w:tc>
          <w:tcPr>
            <w:tcW w:w="1275" w:type="dxa"/>
            <w:tcBorders>
              <w:top w:val="single" w:color="auto" w:sz="8" w:space="0"/>
              <w:left w:val="single" w:color="auto" w:sz="4" w:space="0"/>
              <w:bottom w:val="single" w:color="auto" w:sz="2" w:space="0"/>
              <w:right w:val="nil"/>
            </w:tcBorders>
            <w:noWrap w:val="0"/>
            <w:vAlign w:val="center"/>
          </w:tcPr>
          <w:p w14:paraId="1C180DFD">
            <w:pPr>
              <w:adjustRightInd w:val="0"/>
              <w:snapToGrid w:val="0"/>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代码</w:t>
            </w:r>
          </w:p>
        </w:tc>
        <w:tc>
          <w:tcPr>
            <w:tcW w:w="1509" w:type="dxa"/>
            <w:tcBorders>
              <w:top w:val="single" w:color="auto" w:sz="8" w:space="0"/>
              <w:left w:val="single" w:color="auto" w:sz="4" w:space="0"/>
              <w:bottom w:val="single" w:color="auto" w:sz="2" w:space="0"/>
              <w:right w:val="nil"/>
            </w:tcBorders>
            <w:noWrap w:val="0"/>
            <w:vAlign w:val="center"/>
          </w:tcPr>
          <w:p w14:paraId="309540B5">
            <w:pPr>
              <w:adjustRightInd w:val="0"/>
              <w:snapToGrid w:val="0"/>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数量</w:t>
            </w:r>
          </w:p>
        </w:tc>
      </w:tr>
      <w:tr w14:paraId="4B16A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2" w:space="0"/>
              <w:left w:val="nil"/>
              <w:bottom w:val="single" w:color="auto" w:sz="4" w:space="0"/>
              <w:right w:val="single" w:color="auto" w:sz="4" w:space="0"/>
            </w:tcBorders>
            <w:noWrap w:val="0"/>
            <w:vAlign w:val="center"/>
          </w:tcPr>
          <w:p w14:paraId="381E8AF2">
            <w:pPr>
              <w:adjustRightInd w:val="0"/>
              <w:snapToGrid w:val="0"/>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甲</w:t>
            </w:r>
          </w:p>
        </w:tc>
        <w:tc>
          <w:tcPr>
            <w:tcW w:w="1418" w:type="dxa"/>
            <w:tcBorders>
              <w:top w:val="single" w:color="auto" w:sz="2" w:space="0"/>
              <w:left w:val="single" w:color="auto" w:sz="4" w:space="0"/>
              <w:bottom w:val="single" w:color="auto" w:sz="4" w:space="0"/>
              <w:right w:val="nil"/>
            </w:tcBorders>
            <w:noWrap w:val="0"/>
            <w:vAlign w:val="center"/>
          </w:tcPr>
          <w:p w14:paraId="25354B0E">
            <w:pPr>
              <w:adjustRightInd w:val="0"/>
              <w:snapToGrid w:val="0"/>
              <w:spacing w:line="280" w:lineRule="exact"/>
              <w:jc w:val="center"/>
              <w:rPr>
                <w:rFonts w:ascii="Times New Roman" w:hAnsi="Times New Roman"/>
                <w:bCs/>
                <w:color w:val="auto"/>
                <w:sz w:val="18"/>
                <w:szCs w:val="24"/>
                <w:highlight w:val="none"/>
              </w:rPr>
            </w:pPr>
            <w:r>
              <w:rPr>
                <w:rFonts w:ascii="Times New Roman" w:hAnsi="Times New Roman"/>
                <w:bCs/>
                <w:color w:val="auto"/>
                <w:sz w:val="18"/>
                <w:szCs w:val="24"/>
                <w:highlight w:val="none"/>
              </w:rPr>
              <w:t>乙</w:t>
            </w:r>
          </w:p>
        </w:tc>
        <w:tc>
          <w:tcPr>
            <w:tcW w:w="1275" w:type="dxa"/>
            <w:tcBorders>
              <w:top w:val="single" w:color="auto" w:sz="2" w:space="0"/>
              <w:left w:val="single" w:color="auto" w:sz="4" w:space="0"/>
              <w:bottom w:val="single" w:color="auto" w:sz="4" w:space="0"/>
              <w:right w:val="nil"/>
            </w:tcBorders>
            <w:noWrap w:val="0"/>
            <w:vAlign w:val="center"/>
          </w:tcPr>
          <w:p w14:paraId="785665EE">
            <w:pPr>
              <w:adjustRightInd w:val="0"/>
              <w:snapToGrid w:val="0"/>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丙</w:t>
            </w:r>
          </w:p>
        </w:tc>
        <w:tc>
          <w:tcPr>
            <w:tcW w:w="1509" w:type="dxa"/>
            <w:tcBorders>
              <w:top w:val="single" w:color="auto" w:sz="2" w:space="0"/>
              <w:left w:val="single" w:color="auto" w:sz="4" w:space="0"/>
              <w:bottom w:val="single" w:color="auto" w:sz="4" w:space="0"/>
              <w:right w:val="nil"/>
            </w:tcBorders>
            <w:noWrap w:val="0"/>
            <w:vAlign w:val="center"/>
          </w:tcPr>
          <w:p w14:paraId="1C0E3BFC">
            <w:pPr>
              <w:adjustRightInd w:val="0"/>
              <w:snapToGrid w:val="0"/>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1</w:t>
            </w:r>
          </w:p>
        </w:tc>
      </w:tr>
      <w:tr w14:paraId="4B146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left w:val="nil"/>
              <w:bottom w:val="single" w:color="auto" w:sz="4" w:space="0"/>
              <w:right w:val="single" w:color="auto" w:sz="4" w:space="0"/>
            </w:tcBorders>
            <w:noWrap w:val="0"/>
            <w:vAlign w:val="center"/>
          </w:tcPr>
          <w:p w14:paraId="29BDC71D">
            <w:pPr>
              <w:adjustRightInd w:val="0"/>
              <w:snapToGrid w:val="0"/>
              <w:spacing w:line="280" w:lineRule="exact"/>
              <w:jc w:val="both"/>
              <w:rPr>
                <w:rFonts w:ascii="Times New Roman" w:hAnsi="Times New Roman"/>
                <w:b/>
                <w:color w:val="auto"/>
                <w:sz w:val="18"/>
                <w:szCs w:val="24"/>
                <w:highlight w:val="none"/>
              </w:rPr>
            </w:pPr>
            <w:r>
              <w:rPr>
                <w:rFonts w:ascii="Times New Roman" w:hAnsi="Times New Roman"/>
                <w:b/>
                <w:color w:val="auto"/>
                <w:sz w:val="18"/>
                <w:szCs w:val="24"/>
                <w:highlight w:val="none"/>
              </w:rPr>
              <w:t>一、从业人员数</w:t>
            </w:r>
          </w:p>
        </w:tc>
        <w:tc>
          <w:tcPr>
            <w:tcW w:w="1418" w:type="dxa"/>
            <w:tcBorders>
              <w:left w:val="single" w:color="auto" w:sz="4" w:space="0"/>
              <w:bottom w:val="single" w:color="auto" w:sz="4" w:space="0"/>
              <w:right w:val="nil"/>
            </w:tcBorders>
            <w:noWrap w:val="0"/>
            <w:vAlign w:val="center"/>
          </w:tcPr>
          <w:p w14:paraId="0B2165AF">
            <w:pPr>
              <w:adjustRightInd w:val="0"/>
              <w:snapToGrid w:val="0"/>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c>
          <w:tcPr>
            <w:tcW w:w="1275" w:type="dxa"/>
            <w:tcBorders>
              <w:left w:val="single" w:color="auto" w:sz="4" w:space="0"/>
              <w:bottom w:val="single" w:color="auto" w:sz="4" w:space="0"/>
              <w:right w:val="nil"/>
            </w:tcBorders>
            <w:noWrap w:val="0"/>
            <w:vAlign w:val="center"/>
          </w:tcPr>
          <w:p w14:paraId="1A1D7F58">
            <w:pPr>
              <w:adjustRightInd w:val="0"/>
              <w:snapToGrid w:val="0"/>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c>
          <w:tcPr>
            <w:tcW w:w="1509" w:type="dxa"/>
            <w:tcBorders>
              <w:left w:val="single" w:color="auto" w:sz="4" w:space="0"/>
              <w:bottom w:val="single" w:color="auto" w:sz="4" w:space="0"/>
              <w:right w:val="nil"/>
            </w:tcBorders>
            <w:noWrap w:val="0"/>
            <w:vAlign w:val="center"/>
          </w:tcPr>
          <w:p w14:paraId="4E1E0DDE">
            <w:pPr>
              <w:adjustRightInd w:val="0"/>
              <w:snapToGrid w:val="0"/>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r>
      <w:tr w14:paraId="03458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20E7F84B">
            <w:pPr>
              <w:adjustRightInd w:val="0"/>
              <w:snapToGrid w:val="0"/>
              <w:spacing w:line="280" w:lineRule="exact"/>
              <w:jc w:val="both"/>
              <w:rPr>
                <w:rFonts w:cs="Calibri"/>
                <w:bCs/>
                <w:color w:val="auto"/>
                <w:sz w:val="18"/>
                <w:szCs w:val="24"/>
                <w:highlight w:val="none"/>
              </w:rPr>
            </w:pPr>
            <w:r>
              <w:rPr>
                <w:rFonts w:cs="Calibri"/>
                <w:bCs/>
                <w:color w:val="auto"/>
                <w:sz w:val="18"/>
                <w:szCs w:val="24"/>
                <w:highlight w:val="none"/>
              </w:rPr>
              <w:t>从业人员期末人数</w:t>
            </w:r>
          </w:p>
        </w:tc>
        <w:tc>
          <w:tcPr>
            <w:tcW w:w="1418" w:type="dxa"/>
            <w:tcBorders>
              <w:top w:val="single" w:color="auto" w:sz="4" w:space="0"/>
              <w:left w:val="single" w:color="auto" w:sz="4" w:space="0"/>
              <w:bottom w:val="single" w:color="auto" w:sz="4" w:space="0"/>
              <w:right w:val="nil"/>
            </w:tcBorders>
            <w:noWrap w:val="0"/>
            <w:vAlign w:val="center"/>
          </w:tcPr>
          <w:p w14:paraId="34AAACFE">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52964AC">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QD01</w:t>
            </w:r>
          </w:p>
        </w:tc>
        <w:tc>
          <w:tcPr>
            <w:tcW w:w="1509" w:type="dxa"/>
            <w:tcBorders>
              <w:top w:val="single" w:color="auto" w:sz="4" w:space="0"/>
              <w:left w:val="single" w:color="auto" w:sz="4" w:space="0"/>
              <w:bottom w:val="single" w:color="auto" w:sz="4" w:space="0"/>
              <w:right w:val="nil"/>
            </w:tcBorders>
            <w:noWrap w:val="0"/>
            <w:vAlign w:val="center"/>
          </w:tcPr>
          <w:p w14:paraId="0ACFB01C">
            <w:pPr>
              <w:adjustRightInd w:val="0"/>
              <w:snapToGrid w:val="0"/>
              <w:spacing w:line="280" w:lineRule="exact"/>
              <w:jc w:val="center"/>
              <w:rPr>
                <w:rFonts w:ascii="Times New Roman" w:hAnsi="Times New Roman"/>
                <w:bCs/>
                <w:color w:val="auto"/>
                <w:sz w:val="18"/>
                <w:szCs w:val="24"/>
                <w:highlight w:val="none"/>
              </w:rPr>
            </w:pPr>
          </w:p>
        </w:tc>
      </w:tr>
      <w:tr w14:paraId="3C25D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53914996">
            <w:pPr>
              <w:adjustRightInd w:val="0"/>
              <w:snapToGrid w:val="0"/>
              <w:spacing w:line="280" w:lineRule="exact"/>
              <w:ind w:firstLine="360" w:firstLineChars="200"/>
              <w:jc w:val="both"/>
              <w:rPr>
                <w:rFonts w:cs="Calibri"/>
                <w:bCs/>
                <w:color w:val="auto"/>
                <w:sz w:val="18"/>
                <w:szCs w:val="24"/>
                <w:highlight w:val="none"/>
              </w:rPr>
            </w:pPr>
            <w:r>
              <w:rPr>
                <w:rFonts w:cs="Calibri"/>
                <w:bCs/>
                <w:color w:val="auto"/>
                <w:sz w:val="18"/>
                <w:szCs w:val="24"/>
                <w:highlight w:val="none"/>
              </w:rPr>
              <w:t>其中：留学归国人员</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z w:val="18"/>
                <w:szCs w:val="18"/>
                <w:highlight w:val="none"/>
              </w:rPr>
              <w:t>03≤</w:t>
            </w:r>
            <w:r>
              <w:rPr>
                <w:rFonts w:cs="Calibri"/>
                <w:bCs/>
                <w:color w:val="auto"/>
                <w:sz w:val="18"/>
                <w:szCs w:val="24"/>
                <w:highlight w:val="none"/>
              </w:rPr>
              <w:t>QD</w:t>
            </w:r>
            <w:r>
              <w:rPr>
                <w:rFonts w:hint="eastAsia" w:ascii="Times New Roman" w:hAnsi="Times New Roman" w:eastAsia="宋体" w:cs="Times New Roman"/>
                <w:bCs/>
                <w:color w:val="auto"/>
                <w:sz w:val="18"/>
                <w:szCs w:val="18"/>
                <w:highlight w:val="none"/>
              </w:rPr>
              <w:t>01）</w:t>
            </w:r>
          </w:p>
        </w:tc>
        <w:tc>
          <w:tcPr>
            <w:tcW w:w="1418" w:type="dxa"/>
            <w:tcBorders>
              <w:top w:val="single" w:color="auto" w:sz="4" w:space="0"/>
              <w:left w:val="single" w:color="auto" w:sz="4" w:space="0"/>
              <w:bottom w:val="single" w:color="auto" w:sz="4" w:space="0"/>
              <w:right w:val="nil"/>
            </w:tcBorders>
            <w:noWrap w:val="0"/>
            <w:vAlign w:val="center"/>
          </w:tcPr>
          <w:p w14:paraId="595F9A48">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5A2A8617">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QD03</w:t>
            </w:r>
          </w:p>
        </w:tc>
        <w:tc>
          <w:tcPr>
            <w:tcW w:w="1509" w:type="dxa"/>
            <w:tcBorders>
              <w:top w:val="single" w:color="auto" w:sz="4" w:space="0"/>
              <w:left w:val="single" w:color="auto" w:sz="4" w:space="0"/>
              <w:bottom w:val="single" w:color="auto" w:sz="4" w:space="0"/>
              <w:right w:val="nil"/>
            </w:tcBorders>
            <w:noWrap w:val="0"/>
            <w:vAlign w:val="center"/>
          </w:tcPr>
          <w:p w14:paraId="56957CB3">
            <w:pPr>
              <w:adjustRightInd w:val="0"/>
              <w:snapToGrid w:val="0"/>
              <w:spacing w:line="280" w:lineRule="exact"/>
              <w:jc w:val="center"/>
              <w:rPr>
                <w:rFonts w:ascii="Times New Roman" w:hAnsi="Times New Roman"/>
                <w:bCs/>
                <w:color w:val="auto"/>
                <w:sz w:val="18"/>
                <w:szCs w:val="24"/>
                <w:highlight w:val="none"/>
              </w:rPr>
            </w:pPr>
          </w:p>
        </w:tc>
      </w:tr>
      <w:tr w14:paraId="1B286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380554A1">
            <w:pPr>
              <w:adjustRightInd w:val="0"/>
              <w:snapToGrid w:val="0"/>
              <w:spacing w:line="280" w:lineRule="exact"/>
              <w:ind w:firstLine="344" w:firstLineChars="200"/>
              <w:jc w:val="both"/>
              <w:rPr>
                <w:rFonts w:cs="Calibri"/>
                <w:bCs/>
                <w:color w:val="auto"/>
                <w:spacing w:val="-4"/>
                <w:sz w:val="18"/>
                <w:szCs w:val="24"/>
                <w:highlight w:val="none"/>
              </w:rPr>
            </w:pPr>
            <w:r>
              <w:rPr>
                <w:rFonts w:cs="Calibri"/>
                <w:bCs/>
                <w:color w:val="auto"/>
                <w:spacing w:val="-4"/>
                <w:sz w:val="18"/>
                <w:szCs w:val="24"/>
                <w:highlight w:val="none"/>
              </w:rPr>
              <w:t>其中：外籍常住人员</w:t>
            </w:r>
            <w:r>
              <w:rPr>
                <w:rFonts w:hint="eastAsia" w:ascii="Times New Roman" w:hAnsi="Times New Roman" w:eastAsia="宋体" w:cs="Times New Roman"/>
                <w:bCs/>
                <w:color w:val="auto"/>
                <w:spacing w:val="0"/>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pacing w:val="0"/>
                <w:sz w:val="18"/>
                <w:szCs w:val="18"/>
                <w:highlight w:val="none"/>
              </w:rPr>
              <w:t>25</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z w:val="18"/>
                <w:szCs w:val="18"/>
                <w:highlight w:val="none"/>
              </w:rPr>
              <w:t>01</w:t>
            </w:r>
            <w:r>
              <w:rPr>
                <w:rFonts w:hint="eastAsia" w:ascii="Times New Roman" w:hAnsi="Times New Roman" w:eastAsia="宋体" w:cs="Times New Roman"/>
                <w:bCs/>
                <w:color w:val="auto"/>
                <w:spacing w:val="0"/>
                <w:sz w:val="18"/>
                <w:szCs w:val="18"/>
                <w:highlight w:val="none"/>
              </w:rPr>
              <w:t>）</w:t>
            </w:r>
          </w:p>
        </w:tc>
        <w:tc>
          <w:tcPr>
            <w:tcW w:w="1418" w:type="dxa"/>
            <w:tcBorders>
              <w:top w:val="single" w:color="auto" w:sz="4" w:space="0"/>
              <w:left w:val="single" w:color="auto" w:sz="4" w:space="0"/>
              <w:bottom w:val="single" w:color="auto" w:sz="4" w:space="0"/>
              <w:right w:val="nil"/>
            </w:tcBorders>
            <w:noWrap w:val="0"/>
            <w:vAlign w:val="center"/>
          </w:tcPr>
          <w:p w14:paraId="7059706F">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69F2EDD2">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QD25</w:t>
            </w:r>
          </w:p>
        </w:tc>
        <w:tc>
          <w:tcPr>
            <w:tcW w:w="1509" w:type="dxa"/>
            <w:tcBorders>
              <w:top w:val="single" w:color="auto" w:sz="4" w:space="0"/>
              <w:left w:val="single" w:color="auto" w:sz="4" w:space="0"/>
              <w:bottom w:val="single" w:color="auto" w:sz="4" w:space="0"/>
              <w:right w:val="nil"/>
            </w:tcBorders>
            <w:noWrap w:val="0"/>
            <w:vAlign w:val="center"/>
          </w:tcPr>
          <w:p w14:paraId="0EB4E659">
            <w:pPr>
              <w:adjustRightInd w:val="0"/>
              <w:snapToGrid w:val="0"/>
              <w:spacing w:line="280" w:lineRule="exact"/>
              <w:jc w:val="center"/>
              <w:rPr>
                <w:rFonts w:ascii="Times New Roman" w:hAnsi="Times New Roman"/>
                <w:bCs/>
                <w:color w:val="auto"/>
                <w:sz w:val="18"/>
                <w:szCs w:val="24"/>
                <w:highlight w:val="none"/>
              </w:rPr>
            </w:pPr>
          </w:p>
        </w:tc>
      </w:tr>
      <w:tr w14:paraId="3F73D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2E7E58BE">
            <w:pPr>
              <w:adjustRightInd w:val="0"/>
              <w:snapToGrid w:val="0"/>
              <w:spacing w:line="280" w:lineRule="exact"/>
              <w:ind w:firstLine="344" w:firstLineChars="200"/>
              <w:jc w:val="both"/>
              <w:rPr>
                <w:rFonts w:cs="Calibri"/>
                <w:bCs/>
                <w:color w:val="auto"/>
                <w:spacing w:val="-4"/>
                <w:sz w:val="18"/>
                <w:szCs w:val="24"/>
                <w:highlight w:val="none"/>
              </w:rPr>
            </w:pPr>
            <w:r>
              <w:rPr>
                <w:rFonts w:cs="Calibri"/>
                <w:bCs/>
                <w:color w:val="auto"/>
                <w:spacing w:val="-4"/>
                <w:sz w:val="18"/>
                <w:szCs w:val="24"/>
                <w:highlight w:val="none"/>
              </w:rPr>
              <w:t>其中：引进外籍专家</w:t>
            </w:r>
            <w:r>
              <w:rPr>
                <w:rFonts w:hint="eastAsia" w:ascii="Times New Roman" w:hAnsi="Times New Roman" w:eastAsia="宋体" w:cs="Times New Roman"/>
                <w:bCs/>
                <w:color w:val="auto"/>
                <w:spacing w:val="0"/>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pacing w:val="0"/>
                <w:sz w:val="18"/>
                <w:szCs w:val="18"/>
                <w:highlight w:val="none"/>
              </w:rPr>
              <w:t>21</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z w:val="18"/>
                <w:szCs w:val="18"/>
                <w:highlight w:val="none"/>
              </w:rPr>
              <w:t>01</w:t>
            </w:r>
            <w:r>
              <w:rPr>
                <w:rFonts w:hint="eastAsia" w:ascii="Times New Roman" w:hAnsi="Times New Roman" w:eastAsia="宋体" w:cs="Times New Roman"/>
                <w:bCs/>
                <w:color w:val="auto"/>
                <w:spacing w:val="0"/>
                <w:sz w:val="18"/>
                <w:szCs w:val="18"/>
                <w:highlight w:val="none"/>
              </w:rPr>
              <w:t>）</w:t>
            </w:r>
          </w:p>
        </w:tc>
        <w:tc>
          <w:tcPr>
            <w:tcW w:w="1418" w:type="dxa"/>
            <w:tcBorders>
              <w:top w:val="single" w:color="auto" w:sz="4" w:space="0"/>
              <w:left w:val="single" w:color="auto" w:sz="4" w:space="0"/>
              <w:bottom w:val="single" w:color="auto" w:sz="4" w:space="0"/>
              <w:right w:val="nil"/>
            </w:tcBorders>
            <w:noWrap w:val="0"/>
            <w:vAlign w:val="center"/>
          </w:tcPr>
          <w:p w14:paraId="4016FC02">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163F06C2">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QD21</w:t>
            </w:r>
          </w:p>
        </w:tc>
        <w:tc>
          <w:tcPr>
            <w:tcW w:w="1509" w:type="dxa"/>
            <w:tcBorders>
              <w:top w:val="single" w:color="auto" w:sz="4" w:space="0"/>
              <w:left w:val="single" w:color="auto" w:sz="4" w:space="0"/>
              <w:bottom w:val="single" w:color="auto" w:sz="4" w:space="0"/>
              <w:right w:val="nil"/>
            </w:tcBorders>
            <w:noWrap w:val="0"/>
            <w:vAlign w:val="center"/>
          </w:tcPr>
          <w:p w14:paraId="2BDF1D2D">
            <w:pPr>
              <w:adjustRightInd w:val="0"/>
              <w:snapToGrid w:val="0"/>
              <w:spacing w:line="280" w:lineRule="exact"/>
              <w:jc w:val="center"/>
              <w:rPr>
                <w:rFonts w:ascii="Times New Roman" w:hAnsi="Times New Roman"/>
                <w:bCs/>
                <w:color w:val="auto"/>
                <w:sz w:val="18"/>
                <w:szCs w:val="24"/>
                <w:highlight w:val="none"/>
              </w:rPr>
            </w:pPr>
          </w:p>
        </w:tc>
      </w:tr>
      <w:tr w14:paraId="43A00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7D06F750">
            <w:pPr>
              <w:adjustRightInd w:val="0"/>
              <w:snapToGrid w:val="0"/>
              <w:spacing w:line="280" w:lineRule="exact"/>
              <w:ind w:firstLine="344" w:firstLineChars="200"/>
              <w:jc w:val="both"/>
              <w:rPr>
                <w:rFonts w:cs="Calibri"/>
                <w:bCs/>
                <w:color w:val="auto"/>
                <w:spacing w:val="-4"/>
                <w:sz w:val="18"/>
                <w:szCs w:val="24"/>
                <w:highlight w:val="none"/>
              </w:rPr>
            </w:pPr>
            <w:r>
              <w:rPr>
                <w:rFonts w:cs="Calibri"/>
                <w:bCs/>
                <w:color w:val="auto"/>
                <w:spacing w:val="-4"/>
                <w:sz w:val="18"/>
                <w:szCs w:val="24"/>
                <w:highlight w:val="none"/>
              </w:rPr>
              <w:t>其中：当年新增从业人员</w:t>
            </w:r>
            <w:r>
              <w:rPr>
                <w:rFonts w:hint="eastAsia" w:ascii="Times New Roman" w:hAnsi="Times New Roman" w:eastAsia="宋体" w:cs="Times New Roman"/>
                <w:bCs/>
                <w:color w:val="auto"/>
                <w:spacing w:val="0"/>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pacing w:val="0"/>
                <w:sz w:val="18"/>
                <w:szCs w:val="18"/>
                <w:highlight w:val="none"/>
              </w:rPr>
              <w:t>26</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z w:val="18"/>
                <w:szCs w:val="18"/>
                <w:highlight w:val="none"/>
              </w:rPr>
              <w:t>01</w:t>
            </w:r>
            <w:r>
              <w:rPr>
                <w:rFonts w:hint="eastAsia" w:ascii="Times New Roman" w:hAnsi="Times New Roman" w:eastAsia="宋体" w:cs="Times New Roman"/>
                <w:bCs/>
                <w:color w:val="auto"/>
                <w:spacing w:val="0"/>
                <w:sz w:val="18"/>
                <w:szCs w:val="18"/>
                <w:highlight w:val="none"/>
              </w:rPr>
              <w:t>）</w:t>
            </w:r>
          </w:p>
        </w:tc>
        <w:tc>
          <w:tcPr>
            <w:tcW w:w="1418" w:type="dxa"/>
            <w:tcBorders>
              <w:top w:val="single" w:color="auto" w:sz="4" w:space="0"/>
              <w:left w:val="single" w:color="auto" w:sz="4" w:space="0"/>
              <w:bottom w:val="single" w:color="auto" w:sz="4" w:space="0"/>
              <w:right w:val="nil"/>
            </w:tcBorders>
            <w:noWrap w:val="0"/>
            <w:vAlign w:val="center"/>
          </w:tcPr>
          <w:p w14:paraId="1CE0B02D">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18044DC">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QD26</w:t>
            </w:r>
          </w:p>
        </w:tc>
        <w:tc>
          <w:tcPr>
            <w:tcW w:w="1509" w:type="dxa"/>
            <w:tcBorders>
              <w:top w:val="single" w:color="auto" w:sz="4" w:space="0"/>
              <w:left w:val="single" w:color="auto" w:sz="4" w:space="0"/>
              <w:bottom w:val="single" w:color="auto" w:sz="4" w:space="0"/>
              <w:right w:val="nil"/>
            </w:tcBorders>
            <w:noWrap w:val="0"/>
            <w:vAlign w:val="center"/>
          </w:tcPr>
          <w:p w14:paraId="229351B2">
            <w:pPr>
              <w:adjustRightInd w:val="0"/>
              <w:snapToGrid w:val="0"/>
              <w:spacing w:line="280" w:lineRule="exact"/>
              <w:jc w:val="center"/>
              <w:rPr>
                <w:rFonts w:ascii="Times New Roman" w:hAnsi="Times New Roman"/>
                <w:bCs/>
                <w:color w:val="auto"/>
                <w:sz w:val="18"/>
                <w:szCs w:val="24"/>
                <w:highlight w:val="none"/>
              </w:rPr>
            </w:pPr>
          </w:p>
        </w:tc>
      </w:tr>
      <w:tr w14:paraId="6B650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6B1CB2D0">
            <w:pPr>
              <w:adjustRightInd w:val="0"/>
              <w:snapToGrid w:val="0"/>
              <w:spacing w:line="280" w:lineRule="exact"/>
              <w:ind w:firstLine="860" w:firstLineChars="500"/>
              <w:jc w:val="both"/>
              <w:rPr>
                <w:rFonts w:cs="Calibri"/>
                <w:bCs/>
                <w:color w:val="auto"/>
                <w:spacing w:val="-4"/>
                <w:sz w:val="18"/>
                <w:szCs w:val="24"/>
                <w:highlight w:val="none"/>
              </w:rPr>
            </w:pPr>
            <w:r>
              <w:rPr>
                <w:rFonts w:cs="Calibri"/>
                <w:bCs/>
                <w:color w:val="auto"/>
                <w:spacing w:val="-4"/>
                <w:sz w:val="18"/>
                <w:szCs w:val="24"/>
                <w:highlight w:val="none"/>
              </w:rPr>
              <w:t>其中：吸纳高校应届毕业生</w:t>
            </w:r>
            <w:r>
              <w:rPr>
                <w:rFonts w:hint="eastAsia" w:ascii="Times New Roman" w:hAnsi="Times New Roman" w:eastAsia="宋体" w:cs="Times New Roman"/>
                <w:bCs/>
                <w:color w:val="auto"/>
                <w:spacing w:val="0"/>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pacing w:val="0"/>
                <w:sz w:val="18"/>
                <w:szCs w:val="18"/>
                <w:highlight w:val="none"/>
              </w:rPr>
              <w:t>14</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z w:val="18"/>
                <w:szCs w:val="18"/>
                <w:highlight w:val="none"/>
              </w:rPr>
              <w:t>26</w:t>
            </w:r>
            <w:r>
              <w:rPr>
                <w:rFonts w:hint="eastAsia" w:ascii="Times New Roman" w:hAnsi="Times New Roman" w:eastAsia="宋体" w:cs="Times New Roman"/>
                <w:bCs/>
                <w:color w:val="auto"/>
                <w:spacing w:val="0"/>
                <w:sz w:val="18"/>
                <w:szCs w:val="18"/>
                <w:highlight w:val="none"/>
              </w:rPr>
              <w:t>）</w:t>
            </w:r>
          </w:p>
        </w:tc>
        <w:tc>
          <w:tcPr>
            <w:tcW w:w="1418" w:type="dxa"/>
            <w:tcBorders>
              <w:top w:val="single" w:color="auto" w:sz="4" w:space="0"/>
              <w:left w:val="single" w:color="auto" w:sz="4" w:space="0"/>
              <w:bottom w:val="single" w:color="auto" w:sz="4" w:space="0"/>
              <w:right w:val="nil"/>
            </w:tcBorders>
            <w:noWrap w:val="0"/>
            <w:vAlign w:val="center"/>
          </w:tcPr>
          <w:p w14:paraId="271E5228">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AD7E832">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QD14</w:t>
            </w:r>
          </w:p>
        </w:tc>
        <w:tc>
          <w:tcPr>
            <w:tcW w:w="1509" w:type="dxa"/>
            <w:tcBorders>
              <w:top w:val="single" w:color="auto" w:sz="4" w:space="0"/>
              <w:left w:val="single" w:color="auto" w:sz="4" w:space="0"/>
              <w:bottom w:val="single" w:color="auto" w:sz="4" w:space="0"/>
              <w:right w:val="nil"/>
            </w:tcBorders>
            <w:noWrap w:val="0"/>
            <w:vAlign w:val="center"/>
          </w:tcPr>
          <w:p w14:paraId="406397E8">
            <w:pPr>
              <w:adjustRightInd w:val="0"/>
              <w:snapToGrid w:val="0"/>
              <w:spacing w:line="280" w:lineRule="exact"/>
              <w:jc w:val="center"/>
              <w:rPr>
                <w:rFonts w:ascii="Times New Roman" w:hAnsi="Times New Roman"/>
                <w:bCs/>
                <w:color w:val="auto"/>
                <w:sz w:val="18"/>
                <w:szCs w:val="24"/>
                <w:highlight w:val="none"/>
              </w:rPr>
            </w:pPr>
          </w:p>
        </w:tc>
      </w:tr>
      <w:tr w14:paraId="0E6A8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63C6BEA0">
            <w:pPr>
              <w:adjustRightInd w:val="0"/>
              <w:snapToGrid w:val="0"/>
              <w:spacing w:line="280" w:lineRule="exact"/>
              <w:ind w:left="420" w:leftChars="200" w:firstLine="946" w:firstLineChars="550"/>
              <w:jc w:val="both"/>
              <w:rPr>
                <w:rFonts w:cs="Calibri"/>
                <w:bCs/>
                <w:color w:val="auto"/>
                <w:spacing w:val="-4"/>
                <w:sz w:val="18"/>
                <w:szCs w:val="24"/>
                <w:highlight w:val="none"/>
              </w:rPr>
            </w:pPr>
            <w:r>
              <w:rPr>
                <w:rFonts w:cs="Calibri"/>
                <w:bCs/>
                <w:color w:val="auto"/>
                <w:spacing w:val="-4"/>
                <w:sz w:val="18"/>
                <w:szCs w:val="24"/>
                <w:highlight w:val="none"/>
              </w:rPr>
              <w:t>其中：从事科研或科研辅助工作的应届毕业生</w:t>
            </w:r>
          </w:p>
        </w:tc>
        <w:tc>
          <w:tcPr>
            <w:tcW w:w="1418" w:type="dxa"/>
            <w:tcBorders>
              <w:top w:val="single" w:color="auto" w:sz="4" w:space="0"/>
              <w:left w:val="single" w:color="auto" w:sz="4" w:space="0"/>
              <w:bottom w:val="single" w:color="auto" w:sz="4" w:space="0"/>
              <w:right w:val="nil"/>
            </w:tcBorders>
            <w:noWrap w:val="0"/>
            <w:vAlign w:val="center"/>
          </w:tcPr>
          <w:p w14:paraId="1F0C01D8">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A007564">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QD14_0</w:t>
            </w:r>
          </w:p>
        </w:tc>
        <w:tc>
          <w:tcPr>
            <w:tcW w:w="1509" w:type="dxa"/>
            <w:tcBorders>
              <w:top w:val="single" w:color="auto" w:sz="4" w:space="0"/>
              <w:left w:val="single" w:color="auto" w:sz="4" w:space="0"/>
              <w:bottom w:val="single" w:color="auto" w:sz="4" w:space="0"/>
              <w:right w:val="nil"/>
            </w:tcBorders>
            <w:noWrap w:val="0"/>
            <w:vAlign w:val="center"/>
          </w:tcPr>
          <w:p w14:paraId="001A4DBC">
            <w:pPr>
              <w:adjustRightInd w:val="0"/>
              <w:snapToGrid w:val="0"/>
              <w:spacing w:line="280" w:lineRule="exact"/>
              <w:jc w:val="center"/>
              <w:rPr>
                <w:rFonts w:ascii="Times New Roman" w:hAnsi="Times New Roman"/>
                <w:bCs/>
                <w:color w:val="auto"/>
                <w:sz w:val="18"/>
                <w:szCs w:val="24"/>
                <w:highlight w:val="none"/>
              </w:rPr>
            </w:pPr>
          </w:p>
        </w:tc>
      </w:tr>
      <w:tr w14:paraId="28A39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3B95DBEB">
            <w:pPr>
              <w:adjustRightInd w:val="0"/>
              <w:snapToGrid w:val="0"/>
              <w:spacing w:line="280" w:lineRule="exact"/>
              <w:jc w:val="both"/>
              <w:rPr>
                <w:rFonts w:cs="Calibri"/>
                <w:bCs/>
                <w:color w:val="auto"/>
                <w:sz w:val="18"/>
                <w:szCs w:val="24"/>
                <w:highlight w:val="none"/>
              </w:rPr>
            </w:pPr>
            <w:r>
              <w:rPr>
                <w:rFonts w:cs="Calibri"/>
                <w:bCs/>
                <w:color w:val="auto"/>
                <w:sz w:val="18"/>
                <w:szCs w:val="24"/>
                <w:highlight w:val="none"/>
              </w:rPr>
              <w:t>从业人员年平均人数</w:t>
            </w:r>
          </w:p>
        </w:tc>
        <w:tc>
          <w:tcPr>
            <w:tcW w:w="1418" w:type="dxa"/>
            <w:tcBorders>
              <w:top w:val="single" w:color="auto" w:sz="4" w:space="0"/>
              <w:left w:val="single" w:color="auto" w:sz="4" w:space="0"/>
              <w:bottom w:val="single" w:color="auto" w:sz="4" w:space="0"/>
              <w:right w:val="nil"/>
            </w:tcBorders>
            <w:noWrap w:val="0"/>
            <w:vAlign w:val="center"/>
          </w:tcPr>
          <w:p w14:paraId="7B37EEA5">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66763D9">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QD05</w:t>
            </w:r>
          </w:p>
        </w:tc>
        <w:tc>
          <w:tcPr>
            <w:tcW w:w="1509" w:type="dxa"/>
            <w:tcBorders>
              <w:top w:val="single" w:color="auto" w:sz="4" w:space="0"/>
              <w:left w:val="single" w:color="auto" w:sz="4" w:space="0"/>
              <w:bottom w:val="single" w:color="auto" w:sz="4" w:space="0"/>
              <w:right w:val="nil"/>
            </w:tcBorders>
            <w:noWrap w:val="0"/>
            <w:vAlign w:val="center"/>
          </w:tcPr>
          <w:p w14:paraId="2AFBCF00">
            <w:pPr>
              <w:adjustRightInd w:val="0"/>
              <w:snapToGrid w:val="0"/>
              <w:spacing w:line="280" w:lineRule="exact"/>
              <w:jc w:val="center"/>
              <w:rPr>
                <w:rFonts w:ascii="Times New Roman" w:hAnsi="Times New Roman"/>
                <w:bCs/>
                <w:color w:val="auto"/>
                <w:sz w:val="18"/>
                <w:szCs w:val="24"/>
                <w:highlight w:val="none"/>
              </w:rPr>
            </w:pPr>
          </w:p>
        </w:tc>
      </w:tr>
      <w:tr w14:paraId="4EE25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10BA037F">
            <w:pPr>
              <w:adjustRightInd w:val="0"/>
              <w:snapToGrid w:val="0"/>
              <w:spacing w:line="280" w:lineRule="exact"/>
              <w:jc w:val="both"/>
              <w:rPr>
                <w:rFonts w:cs="Calibri"/>
                <w:b/>
                <w:color w:val="auto"/>
                <w:sz w:val="18"/>
                <w:szCs w:val="24"/>
                <w:highlight w:val="none"/>
              </w:rPr>
            </w:pPr>
            <w:r>
              <w:rPr>
                <w:rFonts w:cs="Calibri"/>
                <w:b/>
                <w:color w:val="auto"/>
                <w:sz w:val="18"/>
                <w:szCs w:val="24"/>
                <w:highlight w:val="none"/>
              </w:rPr>
              <w:t>二、从业人员构成</w:t>
            </w:r>
          </w:p>
        </w:tc>
        <w:tc>
          <w:tcPr>
            <w:tcW w:w="1418" w:type="dxa"/>
            <w:tcBorders>
              <w:top w:val="single" w:color="auto" w:sz="4" w:space="0"/>
              <w:left w:val="single" w:color="auto" w:sz="4" w:space="0"/>
              <w:bottom w:val="single" w:color="auto" w:sz="4" w:space="0"/>
              <w:right w:val="nil"/>
            </w:tcBorders>
            <w:noWrap w:val="0"/>
            <w:vAlign w:val="center"/>
          </w:tcPr>
          <w:p w14:paraId="20379DCF">
            <w:pPr>
              <w:adjustRightInd w:val="0"/>
              <w:snapToGrid w:val="0"/>
              <w:spacing w:line="280" w:lineRule="exact"/>
              <w:jc w:val="center"/>
              <w:rPr>
                <w:rFonts w:cs="Calibri"/>
                <w:bCs/>
                <w:color w:val="auto"/>
                <w:szCs w:val="24"/>
                <w:highlight w:val="none"/>
              </w:rPr>
            </w:pPr>
            <w:r>
              <w:rPr>
                <w:rFonts w:cs="Calibri"/>
                <w:bCs/>
                <w:color w:val="auto"/>
                <w:kern w:val="0"/>
                <w:sz w:val="18"/>
                <w:szCs w:val="18"/>
                <w:highlight w:val="none"/>
              </w:rPr>
              <w:t>—</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E7CC9CF">
            <w:pPr>
              <w:adjustRightInd w:val="0"/>
              <w:snapToGrid w:val="0"/>
              <w:spacing w:line="280" w:lineRule="exact"/>
              <w:jc w:val="center"/>
              <w:rPr>
                <w:rFonts w:cs="Calibri"/>
                <w:bCs/>
                <w:color w:val="auto"/>
                <w:szCs w:val="24"/>
                <w:highlight w:val="none"/>
              </w:rPr>
            </w:pPr>
            <w:r>
              <w:rPr>
                <w:rFonts w:cs="Calibri"/>
                <w:bCs/>
                <w:color w:val="auto"/>
                <w:kern w:val="0"/>
                <w:sz w:val="18"/>
                <w:szCs w:val="18"/>
                <w:highlight w:val="none"/>
              </w:rPr>
              <w:t>—</w:t>
            </w:r>
          </w:p>
        </w:tc>
        <w:tc>
          <w:tcPr>
            <w:tcW w:w="1509" w:type="dxa"/>
            <w:tcBorders>
              <w:top w:val="single" w:color="auto" w:sz="4" w:space="0"/>
              <w:left w:val="single" w:color="auto" w:sz="4" w:space="0"/>
              <w:bottom w:val="single" w:color="auto" w:sz="4" w:space="0"/>
              <w:right w:val="nil"/>
            </w:tcBorders>
            <w:noWrap w:val="0"/>
            <w:vAlign w:val="center"/>
          </w:tcPr>
          <w:p w14:paraId="14457C48">
            <w:pPr>
              <w:adjustRightInd w:val="0"/>
              <w:snapToGrid w:val="0"/>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r>
      <w:tr w14:paraId="3BC57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55F15B35">
            <w:pPr>
              <w:adjustRightInd w:val="0"/>
              <w:snapToGrid w:val="0"/>
              <w:spacing w:line="280" w:lineRule="exact"/>
              <w:rPr>
                <w:rFonts w:cs="Calibri"/>
                <w:b/>
                <w:color w:val="auto"/>
                <w:kern w:val="0"/>
                <w:sz w:val="18"/>
                <w:szCs w:val="18"/>
                <w:highlight w:val="none"/>
              </w:rPr>
            </w:pPr>
            <w:r>
              <w:rPr>
                <w:rFonts w:cs="Calibri"/>
                <w:b/>
                <w:color w:val="auto"/>
                <w:sz w:val="18"/>
                <w:szCs w:val="24"/>
                <w:highlight w:val="none"/>
              </w:rPr>
              <w:t>（一）按学历、学</w:t>
            </w:r>
            <w:r>
              <w:rPr>
                <w:rFonts w:cs="Calibri"/>
                <w:b/>
                <w:bCs w:val="0"/>
                <w:color w:val="auto"/>
                <w:sz w:val="18"/>
                <w:szCs w:val="24"/>
                <w:highlight w:val="none"/>
              </w:rPr>
              <w:t>位及技能分</w:t>
            </w:r>
            <w:r>
              <w:rPr>
                <w:rFonts w:hint="eastAsia" w:ascii="Times New Roman" w:hAnsi="Times New Roman" w:eastAsia="宋体" w:cs="Times New Roman"/>
                <w:b/>
                <w:bCs w:val="0"/>
                <w:color w:val="auto"/>
                <w:sz w:val="18"/>
                <w:szCs w:val="18"/>
                <w:highlight w:val="none"/>
              </w:rPr>
              <w:t>（</w:t>
            </w:r>
            <w:r>
              <w:rPr>
                <w:rFonts w:cs="Calibri"/>
                <w:bCs/>
                <w:color w:val="auto"/>
                <w:sz w:val="18"/>
                <w:szCs w:val="24"/>
                <w:highlight w:val="none"/>
              </w:rPr>
              <w:t>QD</w:t>
            </w:r>
            <w:r>
              <w:rPr>
                <w:rFonts w:hint="eastAsia" w:ascii="Times New Roman" w:hAnsi="Times New Roman" w:eastAsia="宋体" w:cs="Times New Roman"/>
                <w:b/>
                <w:bCs w:val="0"/>
                <w:color w:val="auto"/>
                <w:sz w:val="18"/>
                <w:szCs w:val="18"/>
                <w:highlight w:val="none"/>
              </w:rPr>
              <w:t>18+</w:t>
            </w:r>
            <w:r>
              <w:rPr>
                <w:rFonts w:cs="Calibri"/>
                <w:bCs/>
                <w:color w:val="auto"/>
                <w:sz w:val="18"/>
                <w:szCs w:val="24"/>
                <w:highlight w:val="none"/>
              </w:rPr>
              <w:t>QD</w:t>
            </w:r>
            <w:r>
              <w:rPr>
                <w:rFonts w:hint="eastAsia" w:ascii="Times New Roman" w:hAnsi="Times New Roman" w:eastAsia="宋体" w:cs="Times New Roman"/>
                <w:b/>
                <w:bCs w:val="0"/>
                <w:color w:val="auto"/>
                <w:sz w:val="18"/>
                <w:szCs w:val="18"/>
                <w:highlight w:val="none"/>
              </w:rPr>
              <w:t>08+</w:t>
            </w:r>
            <w:r>
              <w:rPr>
                <w:rFonts w:cs="Calibri"/>
                <w:bCs/>
                <w:color w:val="auto"/>
                <w:sz w:val="18"/>
                <w:szCs w:val="24"/>
                <w:highlight w:val="none"/>
              </w:rPr>
              <w:t>QD</w:t>
            </w:r>
            <w:r>
              <w:rPr>
                <w:rFonts w:hint="eastAsia" w:ascii="Times New Roman" w:hAnsi="Times New Roman" w:eastAsia="宋体" w:cs="Times New Roman"/>
                <w:b/>
                <w:bCs w:val="0"/>
                <w:color w:val="auto"/>
                <w:sz w:val="18"/>
                <w:szCs w:val="18"/>
                <w:highlight w:val="none"/>
              </w:rPr>
              <w:t>09≤</w:t>
            </w:r>
            <w:r>
              <w:rPr>
                <w:rFonts w:cs="Calibri"/>
                <w:bCs/>
                <w:color w:val="auto"/>
                <w:sz w:val="18"/>
                <w:szCs w:val="24"/>
                <w:highlight w:val="none"/>
              </w:rPr>
              <w:t>QD</w:t>
            </w:r>
            <w:r>
              <w:rPr>
                <w:rFonts w:hint="eastAsia" w:ascii="Times New Roman" w:hAnsi="Times New Roman" w:eastAsia="宋体" w:cs="Times New Roman"/>
                <w:b/>
                <w:bCs w:val="0"/>
                <w:color w:val="auto"/>
                <w:sz w:val="18"/>
                <w:szCs w:val="18"/>
                <w:highlight w:val="none"/>
              </w:rPr>
              <w:t>01）</w:t>
            </w:r>
          </w:p>
        </w:tc>
        <w:tc>
          <w:tcPr>
            <w:tcW w:w="1418" w:type="dxa"/>
            <w:tcBorders>
              <w:top w:val="single" w:color="auto" w:sz="4" w:space="0"/>
              <w:left w:val="single" w:color="auto" w:sz="4" w:space="0"/>
              <w:bottom w:val="single" w:color="auto" w:sz="4" w:space="0"/>
              <w:right w:val="nil"/>
            </w:tcBorders>
            <w:noWrap w:val="0"/>
            <w:vAlign w:val="center"/>
          </w:tcPr>
          <w:p w14:paraId="1B388F05">
            <w:pPr>
              <w:adjustRightInd w:val="0"/>
              <w:snapToGrid w:val="0"/>
              <w:spacing w:line="280" w:lineRule="exact"/>
              <w:jc w:val="center"/>
              <w:rPr>
                <w:rFonts w:cs="Calibri"/>
                <w:bCs/>
                <w:color w:val="auto"/>
                <w:sz w:val="18"/>
                <w:szCs w:val="24"/>
                <w:highlight w:val="none"/>
              </w:rPr>
            </w:pPr>
            <w:r>
              <w:rPr>
                <w:rFonts w:cs="Calibri"/>
                <w:bCs/>
                <w:color w:val="auto"/>
                <w:kern w:val="0"/>
                <w:sz w:val="18"/>
                <w:szCs w:val="18"/>
                <w:highlight w:val="none"/>
              </w:rPr>
              <w:t>—</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07ACBEA">
            <w:pPr>
              <w:adjustRightInd w:val="0"/>
              <w:snapToGrid w:val="0"/>
              <w:spacing w:line="280" w:lineRule="exact"/>
              <w:jc w:val="center"/>
              <w:rPr>
                <w:rFonts w:cs="Calibri"/>
                <w:bCs/>
                <w:color w:val="auto"/>
                <w:sz w:val="18"/>
                <w:szCs w:val="24"/>
                <w:highlight w:val="none"/>
              </w:rPr>
            </w:pPr>
            <w:r>
              <w:rPr>
                <w:rFonts w:cs="Calibri"/>
                <w:bCs/>
                <w:color w:val="auto"/>
                <w:kern w:val="0"/>
                <w:sz w:val="18"/>
                <w:szCs w:val="18"/>
                <w:highlight w:val="none"/>
              </w:rPr>
              <w:t>—</w:t>
            </w:r>
          </w:p>
        </w:tc>
        <w:tc>
          <w:tcPr>
            <w:tcW w:w="1509" w:type="dxa"/>
            <w:tcBorders>
              <w:top w:val="single" w:color="auto" w:sz="4" w:space="0"/>
              <w:left w:val="single" w:color="auto" w:sz="4" w:space="0"/>
              <w:bottom w:val="single" w:color="auto" w:sz="4" w:space="0"/>
              <w:right w:val="nil"/>
            </w:tcBorders>
            <w:noWrap w:val="0"/>
            <w:vAlign w:val="center"/>
          </w:tcPr>
          <w:p w14:paraId="083D8D66">
            <w:pPr>
              <w:adjustRightInd w:val="0"/>
              <w:snapToGrid w:val="0"/>
              <w:spacing w:line="280" w:lineRule="exact"/>
              <w:jc w:val="center"/>
              <w:rPr>
                <w:rFonts w:ascii="Times New Roman" w:hAnsi="Times New Roman"/>
                <w:bCs/>
                <w:color w:val="auto"/>
                <w:sz w:val="18"/>
                <w:szCs w:val="24"/>
                <w:highlight w:val="none"/>
              </w:rPr>
            </w:pPr>
            <w:r>
              <w:rPr>
                <w:rFonts w:ascii="Times New Roman" w:hAnsi="Times New Roman"/>
                <w:bCs/>
                <w:color w:val="auto"/>
                <w:kern w:val="0"/>
                <w:sz w:val="18"/>
                <w:szCs w:val="18"/>
                <w:highlight w:val="none"/>
              </w:rPr>
              <w:t>—</w:t>
            </w:r>
          </w:p>
        </w:tc>
      </w:tr>
      <w:tr w14:paraId="48258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34E1DBB9">
            <w:pPr>
              <w:adjustRightInd w:val="0"/>
              <w:snapToGrid w:val="0"/>
              <w:spacing w:line="280" w:lineRule="exact"/>
              <w:rPr>
                <w:rFonts w:cs="Calibri"/>
                <w:bCs/>
                <w:color w:val="auto"/>
                <w:sz w:val="18"/>
                <w:szCs w:val="24"/>
                <w:highlight w:val="none"/>
              </w:rPr>
            </w:pPr>
            <w:r>
              <w:rPr>
                <w:rFonts w:cs="Calibri"/>
                <w:bCs/>
                <w:color w:val="auto"/>
                <w:kern w:val="0"/>
                <w:sz w:val="18"/>
                <w:szCs w:val="18"/>
                <w:highlight w:val="none"/>
              </w:rPr>
              <w:t>具有研究生学历（位）人员</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QD</w:t>
            </w:r>
            <w:r>
              <w:rPr>
                <w:rFonts w:hint="eastAsia" w:ascii="Times New Roman" w:hAnsi="Times New Roman" w:eastAsia="宋体" w:cs="Times New Roman"/>
                <w:bCs/>
                <w:color w:val="auto"/>
                <w:sz w:val="18"/>
                <w:szCs w:val="18"/>
                <w:highlight w:val="none"/>
              </w:rPr>
              <w:t>06+</w:t>
            </w:r>
            <w:r>
              <w:rPr>
                <w:rFonts w:cs="Calibri"/>
                <w:bCs/>
                <w:color w:val="auto"/>
                <w:sz w:val="18"/>
                <w:szCs w:val="24"/>
                <w:highlight w:val="none"/>
              </w:rPr>
              <w:t>QD</w:t>
            </w:r>
            <w:r>
              <w:rPr>
                <w:rFonts w:hint="eastAsia" w:ascii="Times New Roman" w:hAnsi="Times New Roman" w:eastAsia="宋体" w:cs="Times New Roman"/>
                <w:bCs/>
                <w:color w:val="auto"/>
                <w:sz w:val="18"/>
                <w:szCs w:val="18"/>
                <w:highlight w:val="none"/>
              </w:rPr>
              <w:t>07≤</w:t>
            </w:r>
            <w:r>
              <w:rPr>
                <w:rFonts w:cs="Calibri"/>
                <w:bCs/>
                <w:color w:val="auto"/>
                <w:sz w:val="18"/>
                <w:szCs w:val="24"/>
                <w:highlight w:val="none"/>
              </w:rPr>
              <w:t>QD</w:t>
            </w:r>
            <w:r>
              <w:rPr>
                <w:rFonts w:hint="eastAsia" w:ascii="Times New Roman" w:hAnsi="Times New Roman" w:eastAsia="宋体" w:cs="Times New Roman"/>
                <w:bCs/>
                <w:color w:val="auto"/>
                <w:sz w:val="18"/>
                <w:szCs w:val="18"/>
                <w:highlight w:val="none"/>
              </w:rPr>
              <w:t>18）</w:t>
            </w:r>
          </w:p>
        </w:tc>
        <w:tc>
          <w:tcPr>
            <w:tcW w:w="1418" w:type="dxa"/>
            <w:tcBorders>
              <w:top w:val="single" w:color="auto" w:sz="4" w:space="0"/>
              <w:left w:val="single" w:color="auto" w:sz="4" w:space="0"/>
              <w:bottom w:val="single" w:color="auto" w:sz="4" w:space="0"/>
              <w:right w:val="nil"/>
            </w:tcBorders>
            <w:noWrap w:val="0"/>
            <w:vAlign w:val="center"/>
          </w:tcPr>
          <w:p w14:paraId="36604CE0">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BA8CDC6">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QD18</w:t>
            </w:r>
          </w:p>
        </w:tc>
        <w:tc>
          <w:tcPr>
            <w:tcW w:w="1509" w:type="dxa"/>
            <w:tcBorders>
              <w:top w:val="single" w:color="auto" w:sz="4" w:space="0"/>
              <w:left w:val="single" w:color="auto" w:sz="4" w:space="0"/>
              <w:bottom w:val="single" w:color="auto" w:sz="4" w:space="0"/>
              <w:right w:val="nil"/>
            </w:tcBorders>
            <w:noWrap w:val="0"/>
            <w:vAlign w:val="center"/>
          </w:tcPr>
          <w:p w14:paraId="78E811B5">
            <w:pPr>
              <w:adjustRightInd w:val="0"/>
              <w:snapToGrid w:val="0"/>
              <w:spacing w:line="280" w:lineRule="exact"/>
              <w:jc w:val="center"/>
              <w:rPr>
                <w:rFonts w:ascii="Times New Roman" w:hAnsi="Times New Roman"/>
                <w:bCs/>
                <w:color w:val="auto"/>
                <w:sz w:val="18"/>
                <w:szCs w:val="24"/>
                <w:highlight w:val="none"/>
              </w:rPr>
            </w:pPr>
          </w:p>
        </w:tc>
      </w:tr>
      <w:tr w14:paraId="3918F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05B6219F">
            <w:pPr>
              <w:adjustRightInd w:val="0"/>
              <w:snapToGrid w:val="0"/>
              <w:spacing w:line="280" w:lineRule="exact"/>
              <w:ind w:firstLine="360" w:firstLineChars="200"/>
              <w:rPr>
                <w:rFonts w:cs="Calibri"/>
                <w:bCs/>
                <w:color w:val="auto"/>
                <w:sz w:val="18"/>
                <w:szCs w:val="24"/>
                <w:highlight w:val="none"/>
              </w:rPr>
            </w:pPr>
            <w:r>
              <w:rPr>
                <w:rFonts w:cs="Calibri"/>
                <w:bCs/>
                <w:color w:val="auto"/>
                <w:sz w:val="18"/>
                <w:szCs w:val="24"/>
                <w:highlight w:val="none"/>
              </w:rPr>
              <w:t>其中：</w:t>
            </w:r>
            <w:r>
              <w:rPr>
                <w:rFonts w:cs="Calibri"/>
                <w:bCs/>
                <w:color w:val="auto"/>
                <w:spacing w:val="-4"/>
                <w:sz w:val="18"/>
                <w:szCs w:val="24"/>
                <w:highlight w:val="none"/>
              </w:rPr>
              <w:t>博士</w:t>
            </w:r>
          </w:p>
        </w:tc>
        <w:tc>
          <w:tcPr>
            <w:tcW w:w="1418" w:type="dxa"/>
            <w:tcBorders>
              <w:top w:val="single" w:color="auto" w:sz="4" w:space="0"/>
              <w:left w:val="single" w:color="auto" w:sz="4" w:space="0"/>
              <w:bottom w:val="single" w:color="auto" w:sz="4" w:space="0"/>
              <w:right w:val="nil"/>
            </w:tcBorders>
            <w:noWrap w:val="0"/>
            <w:vAlign w:val="center"/>
          </w:tcPr>
          <w:p w14:paraId="6F166A7F">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58E74A3">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QD06</w:t>
            </w:r>
          </w:p>
        </w:tc>
        <w:tc>
          <w:tcPr>
            <w:tcW w:w="1509" w:type="dxa"/>
            <w:tcBorders>
              <w:top w:val="single" w:color="auto" w:sz="4" w:space="0"/>
              <w:left w:val="single" w:color="auto" w:sz="4" w:space="0"/>
              <w:bottom w:val="single" w:color="auto" w:sz="4" w:space="0"/>
              <w:right w:val="nil"/>
            </w:tcBorders>
            <w:noWrap w:val="0"/>
            <w:vAlign w:val="center"/>
          </w:tcPr>
          <w:p w14:paraId="3263E76B">
            <w:pPr>
              <w:adjustRightInd w:val="0"/>
              <w:snapToGrid w:val="0"/>
              <w:spacing w:line="280" w:lineRule="exact"/>
              <w:jc w:val="center"/>
              <w:rPr>
                <w:rFonts w:ascii="Times New Roman" w:hAnsi="Times New Roman"/>
                <w:bCs/>
                <w:color w:val="auto"/>
                <w:sz w:val="18"/>
                <w:szCs w:val="24"/>
                <w:highlight w:val="none"/>
              </w:rPr>
            </w:pPr>
          </w:p>
        </w:tc>
      </w:tr>
      <w:tr w14:paraId="397B1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62ED58B2">
            <w:pPr>
              <w:adjustRightInd w:val="0"/>
              <w:snapToGrid w:val="0"/>
              <w:spacing w:line="280" w:lineRule="exact"/>
              <w:ind w:firstLine="900" w:firstLineChars="500"/>
              <w:rPr>
                <w:rFonts w:cs="Calibri"/>
                <w:bCs/>
                <w:color w:val="auto"/>
                <w:sz w:val="18"/>
                <w:szCs w:val="24"/>
                <w:highlight w:val="none"/>
              </w:rPr>
            </w:pPr>
            <w:r>
              <w:rPr>
                <w:rFonts w:cs="Calibri"/>
                <w:bCs/>
                <w:color w:val="auto"/>
                <w:sz w:val="18"/>
                <w:szCs w:val="24"/>
                <w:highlight w:val="none"/>
              </w:rPr>
              <w:t>硕士</w:t>
            </w:r>
          </w:p>
        </w:tc>
        <w:tc>
          <w:tcPr>
            <w:tcW w:w="1418" w:type="dxa"/>
            <w:tcBorders>
              <w:top w:val="single" w:color="auto" w:sz="4" w:space="0"/>
              <w:left w:val="single" w:color="auto" w:sz="4" w:space="0"/>
              <w:bottom w:val="single" w:color="auto" w:sz="4" w:space="0"/>
              <w:right w:val="nil"/>
            </w:tcBorders>
            <w:noWrap w:val="0"/>
            <w:vAlign w:val="center"/>
          </w:tcPr>
          <w:p w14:paraId="14503DC8">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58CDBEA">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QD07</w:t>
            </w:r>
          </w:p>
        </w:tc>
        <w:tc>
          <w:tcPr>
            <w:tcW w:w="1509" w:type="dxa"/>
            <w:tcBorders>
              <w:top w:val="single" w:color="auto" w:sz="4" w:space="0"/>
              <w:left w:val="single" w:color="auto" w:sz="4" w:space="0"/>
              <w:bottom w:val="single" w:color="auto" w:sz="4" w:space="0"/>
              <w:right w:val="nil"/>
            </w:tcBorders>
            <w:noWrap w:val="0"/>
            <w:vAlign w:val="center"/>
          </w:tcPr>
          <w:p w14:paraId="39A357E3">
            <w:pPr>
              <w:adjustRightInd w:val="0"/>
              <w:snapToGrid w:val="0"/>
              <w:spacing w:line="280" w:lineRule="exact"/>
              <w:jc w:val="center"/>
              <w:rPr>
                <w:rFonts w:ascii="Times New Roman" w:hAnsi="Times New Roman"/>
                <w:bCs/>
                <w:color w:val="auto"/>
                <w:sz w:val="18"/>
                <w:szCs w:val="24"/>
                <w:highlight w:val="none"/>
              </w:rPr>
            </w:pPr>
          </w:p>
        </w:tc>
      </w:tr>
      <w:tr w14:paraId="4A376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4006615C">
            <w:pPr>
              <w:adjustRightInd w:val="0"/>
              <w:snapToGrid w:val="0"/>
              <w:spacing w:line="280" w:lineRule="exact"/>
              <w:rPr>
                <w:rFonts w:cs="Calibri"/>
                <w:bCs/>
                <w:color w:val="auto"/>
                <w:sz w:val="18"/>
                <w:szCs w:val="24"/>
                <w:highlight w:val="none"/>
              </w:rPr>
            </w:pPr>
            <w:r>
              <w:rPr>
                <w:rFonts w:cs="Calibri"/>
                <w:bCs/>
                <w:color w:val="auto"/>
                <w:kern w:val="0"/>
                <w:sz w:val="18"/>
                <w:szCs w:val="18"/>
                <w:highlight w:val="none"/>
              </w:rPr>
              <w:t>具有大学本科学历（位）人员</w:t>
            </w:r>
          </w:p>
        </w:tc>
        <w:tc>
          <w:tcPr>
            <w:tcW w:w="1418" w:type="dxa"/>
            <w:tcBorders>
              <w:top w:val="single" w:color="auto" w:sz="4" w:space="0"/>
              <w:left w:val="single" w:color="auto" w:sz="4" w:space="0"/>
              <w:bottom w:val="single" w:color="auto" w:sz="4" w:space="0"/>
              <w:right w:val="nil"/>
            </w:tcBorders>
            <w:noWrap w:val="0"/>
            <w:vAlign w:val="center"/>
          </w:tcPr>
          <w:p w14:paraId="43BEFBB0">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72066DAF">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QD08</w:t>
            </w:r>
          </w:p>
        </w:tc>
        <w:tc>
          <w:tcPr>
            <w:tcW w:w="1509" w:type="dxa"/>
            <w:tcBorders>
              <w:top w:val="single" w:color="auto" w:sz="4" w:space="0"/>
              <w:left w:val="single" w:color="auto" w:sz="4" w:space="0"/>
              <w:bottom w:val="single" w:color="auto" w:sz="4" w:space="0"/>
              <w:right w:val="nil"/>
            </w:tcBorders>
            <w:noWrap w:val="0"/>
            <w:vAlign w:val="center"/>
          </w:tcPr>
          <w:p w14:paraId="7BC6525F">
            <w:pPr>
              <w:adjustRightInd w:val="0"/>
              <w:snapToGrid w:val="0"/>
              <w:spacing w:line="280" w:lineRule="exact"/>
              <w:jc w:val="center"/>
              <w:rPr>
                <w:rFonts w:ascii="Times New Roman" w:hAnsi="Times New Roman"/>
                <w:bCs/>
                <w:color w:val="auto"/>
                <w:sz w:val="18"/>
                <w:szCs w:val="24"/>
                <w:highlight w:val="none"/>
              </w:rPr>
            </w:pPr>
          </w:p>
        </w:tc>
      </w:tr>
      <w:tr w14:paraId="6CD26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0E9DD21D">
            <w:pPr>
              <w:adjustRightInd w:val="0"/>
              <w:snapToGrid w:val="0"/>
              <w:spacing w:line="280" w:lineRule="exact"/>
              <w:rPr>
                <w:rFonts w:cs="Calibri"/>
                <w:bCs/>
                <w:color w:val="auto"/>
                <w:sz w:val="18"/>
                <w:szCs w:val="24"/>
                <w:highlight w:val="none"/>
              </w:rPr>
            </w:pPr>
            <w:r>
              <w:rPr>
                <w:rFonts w:cs="Calibri"/>
                <w:bCs/>
                <w:color w:val="auto"/>
                <w:kern w:val="0"/>
                <w:sz w:val="18"/>
                <w:szCs w:val="18"/>
                <w:highlight w:val="none"/>
              </w:rPr>
              <w:t>具有大学专科学历人员</w:t>
            </w:r>
          </w:p>
        </w:tc>
        <w:tc>
          <w:tcPr>
            <w:tcW w:w="1418" w:type="dxa"/>
            <w:tcBorders>
              <w:top w:val="single" w:color="auto" w:sz="4" w:space="0"/>
              <w:left w:val="single" w:color="auto" w:sz="4" w:space="0"/>
              <w:bottom w:val="single" w:color="auto" w:sz="4" w:space="0"/>
              <w:right w:val="nil"/>
            </w:tcBorders>
            <w:noWrap w:val="0"/>
            <w:vAlign w:val="center"/>
          </w:tcPr>
          <w:p w14:paraId="46A02AC0">
            <w:pPr>
              <w:adjustRightInd w:val="0"/>
              <w:snapToGrid w:val="0"/>
              <w:spacing w:line="280" w:lineRule="exact"/>
              <w:jc w:val="center"/>
              <w:rPr>
                <w:rFonts w:cs="Calibri"/>
                <w:bCs/>
                <w:color w:val="auto"/>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6CFC7F0A">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QD09</w:t>
            </w:r>
          </w:p>
        </w:tc>
        <w:tc>
          <w:tcPr>
            <w:tcW w:w="1509" w:type="dxa"/>
            <w:tcBorders>
              <w:top w:val="single" w:color="auto" w:sz="4" w:space="0"/>
              <w:left w:val="single" w:color="auto" w:sz="4" w:space="0"/>
              <w:bottom w:val="single" w:color="auto" w:sz="4" w:space="0"/>
              <w:right w:val="nil"/>
            </w:tcBorders>
            <w:noWrap w:val="0"/>
            <w:vAlign w:val="center"/>
          </w:tcPr>
          <w:p w14:paraId="565CC4C6">
            <w:pPr>
              <w:adjustRightInd w:val="0"/>
              <w:snapToGrid w:val="0"/>
              <w:spacing w:line="280" w:lineRule="exact"/>
              <w:jc w:val="center"/>
              <w:rPr>
                <w:rFonts w:ascii="Times New Roman" w:hAnsi="Times New Roman"/>
                <w:bCs/>
                <w:color w:val="auto"/>
                <w:sz w:val="18"/>
                <w:szCs w:val="24"/>
                <w:highlight w:val="none"/>
              </w:rPr>
            </w:pPr>
          </w:p>
        </w:tc>
      </w:tr>
      <w:tr w14:paraId="0208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61ACCBD7">
            <w:pPr>
              <w:adjustRightInd w:val="0"/>
              <w:snapToGrid w:val="0"/>
              <w:spacing w:line="280" w:lineRule="exact"/>
              <w:rPr>
                <w:rFonts w:cs="Calibri"/>
                <w:bCs/>
                <w:color w:val="auto"/>
                <w:sz w:val="18"/>
                <w:szCs w:val="24"/>
                <w:highlight w:val="none"/>
              </w:rPr>
            </w:pPr>
            <w:r>
              <w:rPr>
                <w:rFonts w:cs="Calibri"/>
                <w:bCs/>
                <w:color w:val="auto"/>
                <w:kern w:val="0"/>
                <w:sz w:val="18"/>
                <w:szCs w:val="18"/>
                <w:highlight w:val="none"/>
              </w:rPr>
              <w:t>技能人员</w:t>
            </w:r>
          </w:p>
        </w:tc>
        <w:tc>
          <w:tcPr>
            <w:tcW w:w="1418" w:type="dxa"/>
            <w:tcBorders>
              <w:top w:val="single" w:color="auto" w:sz="4" w:space="0"/>
              <w:left w:val="single" w:color="auto" w:sz="4" w:space="0"/>
              <w:bottom w:val="single" w:color="auto" w:sz="4" w:space="0"/>
              <w:right w:val="nil"/>
            </w:tcBorders>
            <w:noWrap w:val="0"/>
            <w:vAlign w:val="center"/>
          </w:tcPr>
          <w:p w14:paraId="24FA93F3">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305B29D">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QD31</w:t>
            </w:r>
          </w:p>
        </w:tc>
        <w:tc>
          <w:tcPr>
            <w:tcW w:w="1509" w:type="dxa"/>
            <w:tcBorders>
              <w:top w:val="single" w:color="auto" w:sz="4" w:space="0"/>
              <w:left w:val="single" w:color="auto" w:sz="4" w:space="0"/>
              <w:bottom w:val="single" w:color="auto" w:sz="4" w:space="0"/>
              <w:right w:val="nil"/>
            </w:tcBorders>
            <w:noWrap w:val="0"/>
            <w:vAlign w:val="center"/>
          </w:tcPr>
          <w:p w14:paraId="356F38C1">
            <w:pPr>
              <w:adjustRightInd w:val="0"/>
              <w:snapToGrid w:val="0"/>
              <w:spacing w:line="280" w:lineRule="exact"/>
              <w:jc w:val="center"/>
              <w:rPr>
                <w:rFonts w:ascii="Times New Roman" w:hAnsi="Times New Roman"/>
                <w:bCs/>
                <w:color w:val="auto"/>
                <w:sz w:val="18"/>
                <w:szCs w:val="24"/>
                <w:highlight w:val="none"/>
              </w:rPr>
            </w:pPr>
          </w:p>
        </w:tc>
      </w:tr>
      <w:tr w14:paraId="033CD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3B597D0E">
            <w:pPr>
              <w:adjustRightInd w:val="0"/>
              <w:snapToGrid w:val="0"/>
              <w:spacing w:line="280" w:lineRule="exact"/>
              <w:ind w:firstLine="360" w:firstLineChars="200"/>
              <w:rPr>
                <w:rFonts w:cs="Calibri"/>
                <w:bCs/>
                <w:color w:val="auto"/>
                <w:sz w:val="18"/>
                <w:szCs w:val="24"/>
                <w:highlight w:val="none"/>
              </w:rPr>
            </w:pPr>
            <w:r>
              <w:rPr>
                <w:rFonts w:cs="Calibri"/>
                <w:bCs/>
                <w:color w:val="auto"/>
                <w:kern w:val="0"/>
                <w:sz w:val="18"/>
                <w:szCs w:val="18"/>
                <w:highlight w:val="none"/>
              </w:rPr>
              <w:t>其中：高级</w:t>
            </w:r>
            <w:r>
              <w:rPr>
                <w:rFonts w:cs="Calibri"/>
                <w:bCs/>
                <w:color w:val="auto"/>
                <w:sz w:val="18"/>
                <w:szCs w:val="24"/>
                <w:highlight w:val="none"/>
              </w:rPr>
              <w:t>技师</w:t>
            </w:r>
            <w:r>
              <w:rPr>
                <w:rFonts w:cs="Calibri"/>
                <w:bCs/>
                <w:color w:val="auto"/>
                <w:kern w:val="0"/>
                <w:sz w:val="18"/>
                <w:szCs w:val="18"/>
                <w:highlight w:val="none"/>
              </w:rPr>
              <w:t>（国家职业资格一级）</w:t>
            </w:r>
          </w:p>
        </w:tc>
        <w:tc>
          <w:tcPr>
            <w:tcW w:w="1418" w:type="dxa"/>
            <w:tcBorders>
              <w:top w:val="single" w:color="auto" w:sz="4" w:space="0"/>
              <w:left w:val="single" w:color="auto" w:sz="4" w:space="0"/>
              <w:bottom w:val="single" w:color="auto" w:sz="4" w:space="0"/>
              <w:right w:val="nil"/>
            </w:tcBorders>
            <w:noWrap w:val="0"/>
            <w:vAlign w:val="center"/>
          </w:tcPr>
          <w:p w14:paraId="459E4A9A">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6B2EC343">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QD32</w:t>
            </w:r>
          </w:p>
        </w:tc>
        <w:tc>
          <w:tcPr>
            <w:tcW w:w="1509" w:type="dxa"/>
            <w:tcBorders>
              <w:top w:val="single" w:color="auto" w:sz="4" w:space="0"/>
              <w:left w:val="single" w:color="auto" w:sz="4" w:space="0"/>
              <w:bottom w:val="single" w:color="auto" w:sz="4" w:space="0"/>
              <w:right w:val="nil"/>
            </w:tcBorders>
            <w:noWrap w:val="0"/>
            <w:vAlign w:val="center"/>
          </w:tcPr>
          <w:p w14:paraId="115FD18D">
            <w:pPr>
              <w:adjustRightInd w:val="0"/>
              <w:snapToGrid w:val="0"/>
              <w:spacing w:line="280" w:lineRule="exact"/>
              <w:jc w:val="center"/>
              <w:rPr>
                <w:rFonts w:ascii="Times New Roman" w:hAnsi="Times New Roman"/>
                <w:bCs/>
                <w:color w:val="auto"/>
                <w:sz w:val="18"/>
                <w:szCs w:val="24"/>
                <w:highlight w:val="none"/>
              </w:rPr>
            </w:pPr>
          </w:p>
        </w:tc>
      </w:tr>
      <w:tr w14:paraId="52733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587305D0">
            <w:pPr>
              <w:adjustRightInd w:val="0"/>
              <w:snapToGrid w:val="0"/>
              <w:spacing w:line="280" w:lineRule="exact"/>
              <w:ind w:firstLine="900" w:firstLineChars="500"/>
              <w:rPr>
                <w:rFonts w:cs="Calibri"/>
                <w:bCs/>
                <w:color w:val="auto"/>
                <w:sz w:val="18"/>
                <w:szCs w:val="24"/>
                <w:highlight w:val="none"/>
              </w:rPr>
            </w:pPr>
            <w:r>
              <w:rPr>
                <w:rFonts w:cs="Calibri"/>
                <w:bCs/>
                <w:color w:val="auto"/>
                <w:kern w:val="0"/>
                <w:sz w:val="18"/>
                <w:szCs w:val="18"/>
                <w:highlight w:val="none"/>
              </w:rPr>
              <w:t>技师（国家职业资格二级）</w:t>
            </w:r>
          </w:p>
        </w:tc>
        <w:tc>
          <w:tcPr>
            <w:tcW w:w="1418" w:type="dxa"/>
            <w:tcBorders>
              <w:top w:val="single" w:color="auto" w:sz="4" w:space="0"/>
              <w:left w:val="single" w:color="auto" w:sz="4" w:space="0"/>
              <w:bottom w:val="single" w:color="auto" w:sz="4" w:space="0"/>
              <w:right w:val="nil"/>
            </w:tcBorders>
            <w:noWrap w:val="0"/>
            <w:vAlign w:val="center"/>
          </w:tcPr>
          <w:p w14:paraId="306EE139">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0ADA37C">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QD33</w:t>
            </w:r>
          </w:p>
        </w:tc>
        <w:tc>
          <w:tcPr>
            <w:tcW w:w="1509" w:type="dxa"/>
            <w:tcBorders>
              <w:top w:val="single" w:color="auto" w:sz="4" w:space="0"/>
              <w:left w:val="single" w:color="auto" w:sz="4" w:space="0"/>
              <w:bottom w:val="single" w:color="auto" w:sz="4" w:space="0"/>
              <w:right w:val="nil"/>
            </w:tcBorders>
            <w:noWrap w:val="0"/>
            <w:vAlign w:val="center"/>
          </w:tcPr>
          <w:p w14:paraId="0EFB5F37">
            <w:pPr>
              <w:adjustRightInd w:val="0"/>
              <w:snapToGrid w:val="0"/>
              <w:spacing w:line="280" w:lineRule="exact"/>
              <w:jc w:val="center"/>
              <w:rPr>
                <w:rFonts w:ascii="Times New Roman" w:hAnsi="Times New Roman"/>
                <w:bCs/>
                <w:color w:val="auto"/>
                <w:sz w:val="18"/>
                <w:szCs w:val="24"/>
                <w:highlight w:val="none"/>
              </w:rPr>
            </w:pPr>
          </w:p>
        </w:tc>
      </w:tr>
      <w:tr w14:paraId="5A422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6D69A932">
            <w:pPr>
              <w:adjustRightInd w:val="0"/>
              <w:snapToGrid w:val="0"/>
              <w:spacing w:line="280" w:lineRule="exact"/>
              <w:ind w:firstLine="900" w:firstLineChars="500"/>
              <w:rPr>
                <w:rFonts w:cs="Calibri"/>
                <w:bCs/>
                <w:color w:val="auto"/>
                <w:sz w:val="18"/>
                <w:szCs w:val="24"/>
                <w:highlight w:val="none"/>
              </w:rPr>
            </w:pPr>
            <w:r>
              <w:rPr>
                <w:rFonts w:cs="Calibri"/>
                <w:bCs/>
                <w:color w:val="auto"/>
                <w:kern w:val="0"/>
                <w:sz w:val="18"/>
                <w:szCs w:val="18"/>
                <w:highlight w:val="none"/>
              </w:rPr>
              <w:t>高级技能</w:t>
            </w:r>
            <w:r>
              <w:rPr>
                <w:rFonts w:cs="Calibri"/>
                <w:bCs/>
                <w:color w:val="auto"/>
                <w:sz w:val="18"/>
                <w:szCs w:val="24"/>
                <w:highlight w:val="none"/>
              </w:rPr>
              <w:t>人员</w:t>
            </w:r>
            <w:r>
              <w:rPr>
                <w:rFonts w:cs="Calibri"/>
                <w:bCs/>
                <w:color w:val="auto"/>
                <w:kern w:val="0"/>
                <w:sz w:val="18"/>
                <w:szCs w:val="18"/>
                <w:highlight w:val="none"/>
              </w:rPr>
              <w:t>（国家职业资格三级）</w:t>
            </w:r>
          </w:p>
        </w:tc>
        <w:tc>
          <w:tcPr>
            <w:tcW w:w="1418" w:type="dxa"/>
            <w:tcBorders>
              <w:top w:val="single" w:color="auto" w:sz="4" w:space="0"/>
              <w:left w:val="single" w:color="auto" w:sz="4" w:space="0"/>
              <w:bottom w:val="single" w:color="auto" w:sz="4" w:space="0"/>
              <w:right w:val="nil"/>
            </w:tcBorders>
            <w:noWrap w:val="0"/>
            <w:vAlign w:val="center"/>
          </w:tcPr>
          <w:p w14:paraId="18FCEC03">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61D1D8B">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QD34</w:t>
            </w:r>
          </w:p>
        </w:tc>
        <w:tc>
          <w:tcPr>
            <w:tcW w:w="1509" w:type="dxa"/>
            <w:tcBorders>
              <w:top w:val="single" w:color="auto" w:sz="4" w:space="0"/>
              <w:left w:val="single" w:color="auto" w:sz="4" w:space="0"/>
              <w:bottom w:val="single" w:color="auto" w:sz="4" w:space="0"/>
              <w:right w:val="nil"/>
            </w:tcBorders>
            <w:noWrap w:val="0"/>
            <w:vAlign w:val="center"/>
          </w:tcPr>
          <w:p w14:paraId="5D11A059">
            <w:pPr>
              <w:adjustRightInd w:val="0"/>
              <w:snapToGrid w:val="0"/>
              <w:spacing w:line="280" w:lineRule="exact"/>
              <w:jc w:val="center"/>
              <w:rPr>
                <w:rFonts w:ascii="Times New Roman" w:hAnsi="Times New Roman"/>
                <w:bCs/>
                <w:color w:val="auto"/>
                <w:sz w:val="18"/>
                <w:szCs w:val="24"/>
                <w:highlight w:val="none"/>
              </w:rPr>
            </w:pPr>
          </w:p>
        </w:tc>
      </w:tr>
      <w:tr w14:paraId="61B64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29F700BC">
            <w:pPr>
              <w:adjustRightInd w:val="0"/>
              <w:snapToGrid w:val="0"/>
              <w:spacing w:line="280" w:lineRule="exact"/>
              <w:ind w:firstLine="900" w:firstLineChars="500"/>
              <w:rPr>
                <w:rFonts w:cs="Calibri"/>
                <w:bCs/>
                <w:color w:val="auto"/>
                <w:sz w:val="18"/>
                <w:szCs w:val="24"/>
                <w:highlight w:val="none"/>
              </w:rPr>
            </w:pPr>
            <w:r>
              <w:rPr>
                <w:rFonts w:cs="Calibri"/>
                <w:bCs/>
                <w:color w:val="auto"/>
                <w:kern w:val="0"/>
                <w:sz w:val="18"/>
                <w:szCs w:val="18"/>
                <w:highlight w:val="none"/>
              </w:rPr>
              <w:t>中级技能</w:t>
            </w:r>
            <w:r>
              <w:rPr>
                <w:rFonts w:cs="Calibri"/>
                <w:bCs/>
                <w:color w:val="auto"/>
                <w:sz w:val="18"/>
                <w:szCs w:val="24"/>
                <w:highlight w:val="none"/>
              </w:rPr>
              <w:t>人员</w:t>
            </w:r>
            <w:r>
              <w:rPr>
                <w:rFonts w:cs="Calibri"/>
                <w:bCs/>
                <w:color w:val="auto"/>
                <w:kern w:val="0"/>
                <w:sz w:val="18"/>
                <w:szCs w:val="18"/>
                <w:highlight w:val="none"/>
              </w:rPr>
              <w:t>（国家职业资格四级）</w:t>
            </w:r>
          </w:p>
        </w:tc>
        <w:tc>
          <w:tcPr>
            <w:tcW w:w="1418" w:type="dxa"/>
            <w:tcBorders>
              <w:top w:val="single" w:color="auto" w:sz="4" w:space="0"/>
              <w:left w:val="single" w:color="auto" w:sz="4" w:space="0"/>
              <w:bottom w:val="single" w:color="auto" w:sz="4" w:space="0"/>
              <w:right w:val="nil"/>
            </w:tcBorders>
            <w:noWrap w:val="0"/>
            <w:vAlign w:val="center"/>
          </w:tcPr>
          <w:p w14:paraId="7B735935">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FB85A85">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QD35</w:t>
            </w:r>
          </w:p>
        </w:tc>
        <w:tc>
          <w:tcPr>
            <w:tcW w:w="1509" w:type="dxa"/>
            <w:tcBorders>
              <w:top w:val="single" w:color="auto" w:sz="4" w:space="0"/>
              <w:left w:val="single" w:color="auto" w:sz="4" w:space="0"/>
              <w:bottom w:val="single" w:color="auto" w:sz="4" w:space="0"/>
              <w:right w:val="nil"/>
            </w:tcBorders>
            <w:noWrap w:val="0"/>
            <w:vAlign w:val="center"/>
          </w:tcPr>
          <w:p w14:paraId="7E7BBDD3">
            <w:pPr>
              <w:adjustRightInd w:val="0"/>
              <w:snapToGrid w:val="0"/>
              <w:spacing w:line="280" w:lineRule="exact"/>
              <w:jc w:val="center"/>
              <w:rPr>
                <w:rFonts w:ascii="Times New Roman" w:hAnsi="Times New Roman"/>
                <w:bCs/>
                <w:color w:val="auto"/>
                <w:sz w:val="18"/>
                <w:szCs w:val="24"/>
                <w:highlight w:val="none"/>
              </w:rPr>
            </w:pPr>
          </w:p>
        </w:tc>
      </w:tr>
      <w:tr w14:paraId="6E52A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3AB7279F">
            <w:pPr>
              <w:adjustRightInd w:val="0"/>
              <w:snapToGrid w:val="0"/>
              <w:spacing w:line="280" w:lineRule="exact"/>
              <w:ind w:firstLine="900" w:firstLineChars="500"/>
              <w:rPr>
                <w:rFonts w:cs="Calibri"/>
                <w:bCs/>
                <w:color w:val="auto"/>
                <w:sz w:val="18"/>
                <w:szCs w:val="24"/>
                <w:highlight w:val="none"/>
              </w:rPr>
            </w:pPr>
            <w:r>
              <w:rPr>
                <w:rFonts w:cs="Calibri"/>
                <w:bCs/>
                <w:color w:val="auto"/>
                <w:kern w:val="0"/>
                <w:sz w:val="18"/>
                <w:szCs w:val="18"/>
                <w:highlight w:val="none"/>
              </w:rPr>
              <w:t>初级技能</w:t>
            </w:r>
            <w:r>
              <w:rPr>
                <w:rFonts w:cs="Calibri"/>
                <w:bCs/>
                <w:color w:val="auto"/>
                <w:sz w:val="18"/>
                <w:szCs w:val="24"/>
                <w:highlight w:val="none"/>
              </w:rPr>
              <w:t>人员</w:t>
            </w:r>
            <w:r>
              <w:rPr>
                <w:rFonts w:cs="Calibri"/>
                <w:bCs/>
                <w:color w:val="auto"/>
                <w:kern w:val="0"/>
                <w:sz w:val="18"/>
                <w:szCs w:val="18"/>
                <w:highlight w:val="none"/>
              </w:rPr>
              <w:t>（国家职业资格五级）</w:t>
            </w:r>
          </w:p>
        </w:tc>
        <w:tc>
          <w:tcPr>
            <w:tcW w:w="1418" w:type="dxa"/>
            <w:tcBorders>
              <w:top w:val="single" w:color="auto" w:sz="4" w:space="0"/>
              <w:left w:val="single" w:color="auto" w:sz="4" w:space="0"/>
              <w:bottom w:val="single" w:color="auto" w:sz="4" w:space="0"/>
              <w:right w:val="nil"/>
            </w:tcBorders>
            <w:noWrap w:val="0"/>
            <w:vAlign w:val="center"/>
          </w:tcPr>
          <w:p w14:paraId="700AF23D">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1C508211">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QD36</w:t>
            </w:r>
          </w:p>
        </w:tc>
        <w:tc>
          <w:tcPr>
            <w:tcW w:w="1509" w:type="dxa"/>
            <w:tcBorders>
              <w:top w:val="single" w:color="auto" w:sz="4" w:space="0"/>
              <w:left w:val="single" w:color="auto" w:sz="4" w:space="0"/>
              <w:bottom w:val="single" w:color="auto" w:sz="4" w:space="0"/>
              <w:right w:val="nil"/>
            </w:tcBorders>
            <w:noWrap w:val="0"/>
            <w:vAlign w:val="center"/>
          </w:tcPr>
          <w:p w14:paraId="25AA129C">
            <w:pPr>
              <w:adjustRightInd w:val="0"/>
              <w:snapToGrid w:val="0"/>
              <w:spacing w:line="280" w:lineRule="exact"/>
              <w:jc w:val="center"/>
              <w:rPr>
                <w:rFonts w:ascii="Times New Roman" w:hAnsi="Times New Roman"/>
                <w:bCs/>
                <w:color w:val="auto"/>
                <w:sz w:val="18"/>
                <w:szCs w:val="24"/>
                <w:highlight w:val="none"/>
              </w:rPr>
            </w:pPr>
          </w:p>
        </w:tc>
      </w:tr>
      <w:tr w14:paraId="1E702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5920E46A">
            <w:pPr>
              <w:adjustRightInd w:val="0"/>
              <w:snapToGrid w:val="0"/>
              <w:spacing w:line="280" w:lineRule="exact"/>
              <w:rPr>
                <w:rFonts w:cs="Calibri"/>
                <w:b/>
                <w:color w:val="auto"/>
                <w:sz w:val="18"/>
                <w:szCs w:val="24"/>
                <w:highlight w:val="none"/>
              </w:rPr>
            </w:pPr>
            <w:r>
              <w:rPr>
                <w:rFonts w:cs="Calibri"/>
                <w:b/>
                <w:color w:val="auto"/>
                <w:sz w:val="18"/>
                <w:szCs w:val="24"/>
                <w:highlight w:val="none"/>
              </w:rPr>
              <w:t>（二）按职业类型分</w:t>
            </w:r>
            <w:r>
              <w:rPr>
                <w:rFonts w:hint="eastAsia" w:ascii="Times New Roman" w:hAnsi="Times New Roman" w:eastAsia="宋体" w:cs="Times New Roman"/>
                <w:b/>
                <w:color w:val="auto"/>
                <w:sz w:val="18"/>
                <w:szCs w:val="18"/>
                <w:highlight w:val="none"/>
              </w:rPr>
              <w:t>（</w:t>
            </w:r>
            <w:r>
              <w:rPr>
                <w:rFonts w:cs="Calibri"/>
                <w:bCs/>
                <w:color w:val="auto"/>
                <w:sz w:val="18"/>
                <w:szCs w:val="24"/>
                <w:highlight w:val="none"/>
              </w:rPr>
              <w:t>QD</w:t>
            </w:r>
            <w:r>
              <w:rPr>
                <w:rFonts w:hint="eastAsia" w:ascii="Times New Roman" w:hAnsi="Times New Roman" w:eastAsia="宋体" w:cs="Times New Roman"/>
                <w:b/>
                <w:color w:val="auto"/>
                <w:sz w:val="18"/>
                <w:szCs w:val="18"/>
                <w:highlight w:val="none"/>
              </w:rPr>
              <w:t>27+</w:t>
            </w:r>
            <w:r>
              <w:rPr>
                <w:rFonts w:cs="Calibri"/>
                <w:bCs/>
                <w:color w:val="auto"/>
                <w:sz w:val="18"/>
                <w:szCs w:val="24"/>
                <w:highlight w:val="none"/>
              </w:rPr>
              <w:t>QD</w:t>
            </w:r>
            <w:r>
              <w:rPr>
                <w:rFonts w:hint="eastAsia" w:ascii="Times New Roman" w:hAnsi="Times New Roman" w:eastAsia="宋体" w:cs="Times New Roman"/>
                <w:b/>
                <w:color w:val="auto"/>
                <w:sz w:val="18"/>
                <w:szCs w:val="18"/>
                <w:highlight w:val="none"/>
              </w:rPr>
              <w:t>28≤</w:t>
            </w:r>
            <w:r>
              <w:rPr>
                <w:rFonts w:cs="Calibri"/>
                <w:bCs/>
                <w:color w:val="auto"/>
                <w:sz w:val="18"/>
                <w:szCs w:val="24"/>
                <w:highlight w:val="none"/>
              </w:rPr>
              <w:t>QD</w:t>
            </w:r>
            <w:r>
              <w:rPr>
                <w:rFonts w:hint="eastAsia" w:ascii="Times New Roman" w:hAnsi="Times New Roman" w:eastAsia="宋体" w:cs="Times New Roman"/>
                <w:b/>
                <w:color w:val="auto"/>
                <w:sz w:val="18"/>
                <w:szCs w:val="18"/>
                <w:highlight w:val="none"/>
              </w:rPr>
              <w:t>01）</w:t>
            </w:r>
          </w:p>
        </w:tc>
        <w:tc>
          <w:tcPr>
            <w:tcW w:w="1418" w:type="dxa"/>
            <w:tcBorders>
              <w:top w:val="single" w:color="auto" w:sz="4" w:space="0"/>
              <w:left w:val="single" w:color="auto" w:sz="4" w:space="0"/>
              <w:bottom w:val="single" w:color="auto" w:sz="4" w:space="0"/>
              <w:right w:val="nil"/>
            </w:tcBorders>
            <w:noWrap w:val="0"/>
            <w:vAlign w:val="center"/>
          </w:tcPr>
          <w:p w14:paraId="52DC63EC">
            <w:pPr>
              <w:adjustRightInd w:val="0"/>
              <w:snapToGrid w:val="0"/>
              <w:spacing w:line="280" w:lineRule="exact"/>
              <w:jc w:val="center"/>
              <w:rPr>
                <w:rFonts w:cs="Calibri"/>
                <w:bCs/>
                <w:color w:val="auto"/>
                <w:sz w:val="18"/>
                <w:szCs w:val="24"/>
                <w:highlight w:val="none"/>
              </w:rPr>
            </w:pPr>
            <w:r>
              <w:rPr>
                <w:rFonts w:cs="Calibri"/>
                <w:bCs/>
                <w:color w:val="auto"/>
                <w:kern w:val="0"/>
                <w:sz w:val="18"/>
                <w:szCs w:val="18"/>
                <w:highlight w:val="none"/>
              </w:rPr>
              <w:t>—</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2A07CA1A">
            <w:pPr>
              <w:adjustRightInd w:val="0"/>
              <w:snapToGrid w:val="0"/>
              <w:spacing w:line="280" w:lineRule="exact"/>
              <w:jc w:val="center"/>
              <w:rPr>
                <w:rFonts w:cs="Calibri"/>
                <w:bCs/>
                <w:color w:val="auto"/>
                <w:sz w:val="18"/>
                <w:szCs w:val="24"/>
                <w:highlight w:val="none"/>
              </w:rPr>
            </w:pPr>
            <w:r>
              <w:rPr>
                <w:rFonts w:cs="Calibri"/>
                <w:bCs/>
                <w:color w:val="auto"/>
                <w:kern w:val="0"/>
                <w:sz w:val="18"/>
                <w:szCs w:val="18"/>
                <w:highlight w:val="none"/>
              </w:rPr>
              <w:t>—</w:t>
            </w:r>
          </w:p>
        </w:tc>
        <w:tc>
          <w:tcPr>
            <w:tcW w:w="1509" w:type="dxa"/>
            <w:tcBorders>
              <w:top w:val="single" w:color="auto" w:sz="4" w:space="0"/>
              <w:left w:val="single" w:color="auto" w:sz="4" w:space="0"/>
              <w:bottom w:val="single" w:color="auto" w:sz="4" w:space="0"/>
              <w:right w:val="nil"/>
            </w:tcBorders>
            <w:noWrap w:val="0"/>
            <w:vAlign w:val="center"/>
          </w:tcPr>
          <w:p w14:paraId="075923E8">
            <w:pPr>
              <w:adjustRightInd w:val="0"/>
              <w:snapToGrid w:val="0"/>
              <w:spacing w:line="280" w:lineRule="exact"/>
              <w:jc w:val="center"/>
              <w:rPr>
                <w:rFonts w:ascii="Times New Roman" w:hAnsi="Times New Roman"/>
                <w:bCs/>
                <w:color w:val="auto"/>
                <w:sz w:val="18"/>
                <w:szCs w:val="24"/>
                <w:highlight w:val="none"/>
              </w:rPr>
            </w:pPr>
            <w:r>
              <w:rPr>
                <w:rFonts w:ascii="Times New Roman" w:hAnsi="Times New Roman"/>
                <w:bCs/>
                <w:color w:val="auto"/>
                <w:kern w:val="0"/>
                <w:sz w:val="18"/>
                <w:szCs w:val="18"/>
                <w:highlight w:val="none"/>
              </w:rPr>
              <w:t>—</w:t>
            </w:r>
          </w:p>
        </w:tc>
      </w:tr>
      <w:tr w14:paraId="029B6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4" w:space="0"/>
              <w:right w:val="single" w:color="auto" w:sz="4" w:space="0"/>
            </w:tcBorders>
            <w:noWrap w:val="0"/>
            <w:vAlign w:val="center"/>
          </w:tcPr>
          <w:p w14:paraId="39699D56">
            <w:pPr>
              <w:adjustRightInd w:val="0"/>
              <w:snapToGrid w:val="0"/>
              <w:spacing w:line="280" w:lineRule="exact"/>
              <w:rPr>
                <w:rFonts w:cs="Calibri"/>
                <w:bCs/>
                <w:color w:val="auto"/>
                <w:sz w:val="18"/>
                <w:szCs w:val="24"/>
                <w:highlight w:val="none"/>
              </w:rPr>
            </w:pPr>
            <w:r>
              <w:rPr>
                <w:rFonts w:cs="Calibri"/>
                <w:bCs/>
                <w:color w:val="auto"/>
                <w:sz w:val="18"/>
                <w:szCs w:val="24"/>
                <w:highlight w:val="none"/>
              </w:rPr>
              <w:t>中层及以上管理人员</w:t>
            </w:r>
          </w:p>
        </w:tc>
        <w:tc>
          <w:tcPr>
            <w:tcW w:w="1418" w:type="dxa"/>
            <w:tcBorders>
              <w:top w:val="single" w:color="auto" w:sz="4" w:space="0"/>
              <w:left w:val="single" w:color="auto" w:sz="4" w:space="0"/>
              <w:bottom w:val="single" w:color="auto" w:sz="4" w:space="0"/>
              <w:right w:val="nil"/>
            </w:tcBorders>
            <w:noWrap w:val="0"/>
            <w:vAlign w:val="center"/>
          </w:tcPr>
          <w:p w14:paraId="245911C4">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8AC85AF">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QD27</w:t>
            </w:r>
          </w:p>
        </w:tc>
        <w:tc>
          <w:tcPr>
            <w:tcW w:w="1509" w:type="dxa"/>
            <w:tcBorders>
              <w:top w:val="single" w:color="auto" w:sz="4" w:space="0"/>
              <w:left w:val="single" w:color="auto" w:sz="4" w:space="0"/>
              <w:bottom w:val="single" w:color="auto" w:sz="4" w:space="0"/>
              <w:right w:val="nil"/>
            </w:tcBorders>
            <w:noWrap w:val="0"/>
            <w:vAlign w:val="center"/>
          </w:tcPr>
          <w:p w14:paraId="05DCFC25">
            <w:pPr>
              <w:adjustRightInd w:val="0"/>
              <w:snapToGrid w:val="0"/>
              <w:spacing w:line="280" w:lineRule="exact"/>
              <w:jc w:val="center"/>
              <w:rPr>
                <w:rFonts w:ascii="Times New Roman" w:hAnsi="Times New Roman"/>
                <w:bCs/>
                <w:color w:val="auto"/>
                <w:sz w:val="18"/>
                <w:szCs w:val="24"/>
                <w:highlight w:val="none"/>
              </w:rPr>
            </w:pPr>
          </w:p>
        </w:tc>
      </w:tr>
      <w:tr w14:paraId="46F96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78" w:type="dxa"/>
            <w:tcBorders>
              <w:top w:val="single" w:color="auto" w:sz="4" w:space="0"/>
              <w:left w:val="nil"/>
              <w:bottom w:val="single" w:color="auto" w:sz="8" w:space="0"/>
              <w:right w:val="single" w:color="auto" w:sz="4" w:space="0"/>
            </w:tcBorders>
            <w:noWrap w:val="0"/>
            <w:vAlign w:val="center"/>
          </w:tcPr>
          <w:p w14:paraId="0BB6A07D">
            <w:pPr>
              <w:adjustRightInd w:val="0"/>
              <w:snapToGrid w:val="0"/>
              <w:spacing w:line="280" w:lineRule="exact"/>
              <w:rPr>
                <w:rFonts w:cs="Calibri"/>
                <w:bCs/>
                <w:color w:val="auto"/>
                <w:sz w:val="18"/>
                <w:szCs w:val="24"/>
                <w:highlight w:val="none"/>
              </w:rPr>
            </w:pPr>
            <w:r>
              <w:rPr>
                <w:rFonts w:cs="Calibri"/>
                <w:bCs/>
                <w:color w:val="auto"/>
                <w:sz w:val="18"/>
                <w:szCs w:val="24"/>
                <w:highlight w:val="none"/>
              </w:rPr>
              <w:t>专业技术人员</w:t>
            </w:r>
          </w:p>
        </w:tc>
        <w:tc>
          <w:tcPr>
            <w:tcW w:w="1418" w:type="dxa"/>
            <w:tcBorders>
              <w:top w:val="single" w:color="auto" w:sz="4" w:space="0"/>
              <w:left w:val="single" w:color="auto" w:sz="4" w:space="0"/>
              <w:bottom w:val="single" w:color="auto" w:sz="8" w:space="0"/>
              <w:right w:val="nil"/>
            </w:tcBorders>
            <w:noWrap w:val="0"/>
            <w:vAlign w:val="center"/>
          </w:tcPr>
          <w:p w14:paraId="45D9FD29">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人</w:t>
            </w:r>
          </w:p>
        </w:tc>
        <w:tc>
          <w:tcPr>
            <w:tcW w:w="1275" w:type="dxa"/>
            <w:tcBorders>
              <w:top w:val="single" w:color="auto" w:sz="4" w:space="0"/>
              <w:left w:val="single" w:color="auto" w:sz="4" w:space="0"/>
              <w:bottom w:val="single" w:color="auto" w:sz="8" w:space="0"/>
              <w:right w:val="single" w:color="auto" w:sz="4" w:space="0"/>
            </w:tcBorders>
            <w:noWrap w:val="0"/>
            <w:vAlign w:val="center"/>
          </w:tcPr>
          <w:p w14:paraId="0C08ECD6">
            <w:pPr>
              <w:adjustRightInd w:val="0"/>
              <w:snapToGrid w:val="0"/>
              <w:spacing w:line="280" w:lineRule="exact"/>
              <w:jc w:val="center"/>
              <w:rPr>
                <w:rFonts w:cs="Calibri"/>
                <w:bCs/>
                <w:color w:val="auto"/>
                <w:sz w:val="18"/>
                <w:szCs w:val="24"/>
                <w:highlight w:val="none"/>
              </w:rPr>
            </w:pPr>
            <w:r>
              <w:rPr>
                <w:rFonts w:cs="Calibri"/>
                <w:bCs/>
                <w:color w:val="auto"/>
                <w:sz w:val="18"/>
                <w:szCs w:val="24"/>
                <w:highlight w:val="none"/>
              </w:rPr>
              <w:t>QD28</w:t>
            </w:r>
          </w:p>
        </w:tc>
        <w:tc>
          <w:tcPr>
            <w:tcW w:w="1509" w:type="dxa"/>
            <w:tcBorders>
              <w:top w:val="single" w:color="auto" w:sz="4" w:space="0"/>
              <w:left w:val="single" w:color="auto" w:sz="4" w:space="0"/>
              <w:bottom w:val="single" w:color="auto" w:sz="8" w:space="0"/>
              <w:right w:val="nil"/>
            </w:tcBorders>
            <w:noWrap w:val="0"/>
            <w:vAlign w:val="center"/>
          </w:tcPr>
          <w:p w14:paraId="092061A3">
            <w:pPr>
              <w:adjustRightInd w:val="0"/>
              <w:snapToGrid w:val="0"/>
              <w:spacing w:line="280" w:lineRule="exact"/>
              <w:jc w:val="center"/>
              <w:rPr>
                <w:rFonts w:ascii="Times New Roman" w:hAnsi="Times New Roman"/>
                <w:bCs/>
                <w:color w:val="auto"/>
                <w:sz w:val="18"/>
                <w:szCs w:val="24"/>
                <w:highlight w:val="none"/>
              </w:rPr>
            </w:pPr>
          </w:p>
        </w:tc>
      </w:tr>
    </w:tbl>
    <w:p w14:paraId="63078179">
      <w:pPr>
        <w:spacing w:line="240" w:lineRule="exact"/>
        <w:rPr>
          <w:rFonts w:ascii="Times New Roman" w:hAnsi="Times New Roman"/>
          <w:bCs/>
          <w:color w:val="auto"/>
          <w:sz w:val="18"/>
          <w:szCs w:val="24"/>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79D6F7D6">
      <w:pPr>
        <w:spacing w:line="360" w:lineRule="exact"/>
        <w:ind w:left="720" w:hanging="720" w:hangingChars="400"/>
        <w:rPr>
          <w:rFonts w:ascii="Times New Roman" w:hAnsi="Times New Roman"/>
          <w:bCs/>
          <w:color w:val="auto"/>
          <w:sz w:val="18"/>
          <w:szCs w:val="24"/>
          <w:highlight w:val="none"/>
        </w:rPr>
      </w:pPr>
    </w:p>
    <w:p w14:paraId="39518FDE">
      <w:pPr>
        <w:spacing w:line="360" w:lineRule="exact"/>
        <w:ind w:left="720" w:hanging="720" w:hangingChars="400"/>
        <w:rPr>
          <w:rFonts w:ascii="Times New Roman" w:hAnsi="Times New Roman"/>
          <w:bCs/>
          <w:color w:val="auto"/>
          <w:sz w:val="18"/>
          <w:szCs w:val="24"/>
          <w:highlight w:val="none"/>
        </w:rPr>
      </w:pPr>
      <w:r>
        <w:rPr>
          <w:rFonts w:ascii="Times New Roman" w:hAnsi="Times New Roman"/>
          <w:bCs/>
          <w:color w:val="auto"/>
          <w:sz w:val="18"/>
          <w:szCs w:val="24"/>
          <w:highlight w:val="none"/>
        </w:rPr>
        <w:t>说明：审核关系</w:t>
      </w:r>
    </w:p>
    <w:p w14:paraId="150E760F">
      <w:pPr>
        <w:adjustRightInd w:val="0"/>
        <w:snapToGrid w:val="0"/>
        <w:spacing w:line="280" w:lineRule="exact"/>
        <w:ind w:left="0" w:leftChars="0" w:firstLine="540" w:firstLineChars="300"/>
        <w:jc w:val="left"/>
        <w:rPr>
          <w:rFonts w:hint="eastAsia" w:ascii="Times New Roman" w:hAnsi="Times New Roman" w:eastAsia="宋体" w:cs="Times New Roman"/>
          <w:bCs/>
          <w:color w:val="auto"/>
          <w:spacing w:val="0"/>
          <w:sz w:val="18"/>
          <w:szCs w:val="18"/>
          <w:highlight w:val="none"/>
        </w:rPr>
      </w:pPr>
      <w:r>
        <w:rPr>
          <w:rFonts w:hint="eastAsia" w:ascii="Times New Roman" w:hAnsi="Times New Roman" w:eastAsia="宋体" w:cs="Times New Roman"/>
          <w:bCs/>
          <w:color w:val="auto"/>
          <w:sz w:val="18"/>
          <w:szCs w:val="18"/>
          <w:highlight w:val="none"/>
        </w:rPr>
        <w:t>（1）QD03≤QD01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 xml:space="preserve">     （2）QD25≤QD01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 xml:space="preserve">     （3）</w:t>
      </w:r>
      <w:r>
        <w:rPr>
          <w:rFonts w:hint="eastAsia" w:ascii="Times New Roman" w:hAnsi="Times New Roman" w:eastAsia="宋体" w:cs="Times New Roman"/>
          <w:bCs/>
          <w:color w:val="auto"/>
          <w:spacing w:val="0"/>
          <w:sz w:val="18"/>
          <w:szCs w:val="18"/>
          <w:highlight w:val="none"/>
        </w:rPr>
        <w:t>QD21≤QD01</w:t>
      </w:r>
    </w:p>
    <w:p w14:paraId="059DCC26">
      <w:pPr>
        <w:adjustRightInd w:val="0"/>
        <w:snapToGrid w:val="0"/>
        <w:spacing w:line="280" w:lineRule="exact"/>
        <w:ind w:left="0" w:leftChars="0"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pacing w:val="0"/>
          <w:sz w:val="18"/>
          <w:szCs w:val="18"/>
          <w:highlight w:val="none"/>
        </w:rPr>
        <w:t>（4）QD26</w:t>
      </w:r>
      <w:r>
        <w:rPr>
          <w:rFonts w:hint="eastAsia" w:ascii="Times New Roman" w:hAnsi="Times New Roman" w:eastAsia="宋体" w:cs="Times New Roman"/>
          <w:bCs/>
          <w:color w:val="auto"/>
          <w:sz w:val="18"/>
          <w:szCs w:val="18"/>
          <w:highlight w:val="none"/>
        </w:rPr>
        <w:t>≤QD01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 xml:space="preserve">     （5）QD14≤</w:t>
      </w:r>
      <w:r>
        <w:rPr>
          <w:rFonts w:hint="eastAsia" w:ascii="Times New Roman" w:hAnsi="Times New Roman" w:eastAsia="宋体" w:cs="Times New Roman"/>
          <w:bCs/>
          <w:color w:val="auto"/>
          <w:spacing w:val="0"/>
          <w:sz w:val="18"/>
          <w:szCs w:val="18"/>
          <w:highlight w:val="none"/>
        </w:rPr>
        <w:t>QD26</w:t>
      </w:r>
      <w:r>
        <w:rPr>
          <w:rFonts w:hint="eastAsia" w:ascii="Times New Roman" w:hAnsi="Times New Roman" w:eastAsia="宋体" w:cs="Times New Roman"/>
          <w:bCs/>
          <w:color w:val="auto"/>
          <w:spacing w:val="0"/>
          <w:sz w:val="18"/>
          <w:szCs w:val="18"/>
          <w:highlight w:val="none"/>
        </w:rPr>
        <w:tab/>
      </w:r>
      <w:r>
        <w:rPr>
          <w:rFonts w:hint="eastAsia" w:ascii="Times New Roman" w:hAnsi="Times New Roman" w:eastAsia="宋体" w:cs="Times New Roman"/>
          <w:bCs/>
          <w:color w:val="auto"/>
          <w:spacing w:val="0"/>
          <w:sz w:val="18"/>
          <w:szCs w:val="18"/>
          <w:highlight w:val="none"/>
        </w:rPr>
        <w:tab/>
      </w:r>
      <w:r>
        <w:rPr>
          <w:rFonts w:hint="eastAsia" w:ascii="Times New Roman" w:hAnsi="Times New Roman" w:eastAsia="宋体" w:cs="Times New Roman"/>
          <w:bCs/>
          <w:color w:val="auto"/>
          <w:spacing w:val="0"/>
          <w:sz w:val="18"/>
          <w:szCs w:val="18"/>
          <w:highlight w:val="none"/>
        </w:rPr>
        <w:t>（6）</w:t>
      </w:r>
      <w:r>
        <w:rPr>
          <w:rFonts w:hint="eastAsia" w:ascii="Times New Roman" w:hAnsi="Times New Roman" w:eastAsia="宋体" w:cs="Times New Roman"/>
          <w:bCs/>
          <w:color w:val="auto"/>
          <w:sz w:val="18"/>
          <w:szCs w:val="18"/>
          <w:highlight w:val="none"/>
        </w:rPr>
        <w:t>QD18+QD08+QD09≤QD01</w:t>
      </w:r>
    </w:p>
    <w:p w14:paraId="50D9C03D">
      <w:pPr>
        <w:adjustRightInd w:val="0"/>
        <w:snapToGrid w:val="0"/>
        <w:spacing w:line="280" w:lineRule="exact"/>
        <w:ind w:left="0" w:leftChars="0"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（7）QD06+QD07≤QD18</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（8）QD30</w:t>
      </w:r>
      <w:r>
        <w:rPr>
          <w:rFonts w:hint="eastAsia" w:ascii="Times New Roman" w:hAnsi="Times New Roman" w:eastAsia="宋体" w:cs="Times New Roman"/>
          <w:bCs/>
          <w:color w:val="auto"/>
          <w:spacing w:val="0"/>
          <w:sz w:val="18"/>
          <w:szCs w:val="18"/>
          <w:highlight w:val="none"/>
        </w:rPr>
        <w:t>≤</w:t>
      </w:r>
      <w:r>
        <w:rPr>
          <w:rFonts w:hint="eastAsia" w:ascii="Times New Roman" w:hAnsi="Times New Roman" w:eastAsia="宋体" w:cs="Times New Roman"/>
          <w:bCs/>
          <w:color w:val="auto"/>
          <w:sz w:val="18"/>
          <w:szCs w:val="18"/>
          <w:highlight w:val="none"/>
        </w:rPr>
        <w:t>QD01</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 xml:space="preserve">     （9）</w:t>
      </w:r>
      <w:r>
        <w:rPr>
          <w:rFonts w:ascii="Times New Roman" w:hAnsi="Times New Roman" w:eastAsia="宋体" w:cs="Calibri"/>
          <w:bCs/>
          <w:color w:val="auto"/>
          <w:sz w:val="18"/>
          <w:szCs w:val="24"/>
          <w:highlight w:val="none"/>
        </w:rPr>
        <w:t>QD14_0≤</w:t>
      </w:r>
      <w:r>
        <w:rPr>
          <w:rFonts w:ascii="Times New Roman" w:hAnsi="Times New Roman" w:eastAsia="宋体" w:cs="Calibri"/>
          <w:bCs/>
          <w:color w:val="auto"/>
          <w:spacing w:val="0"/>
          <w:sz w:val="18"/>
          <w:szCs w:val="24"/>
          <w:highlight w:val="none"/>
        </w:rPr>
        <w:t>QD14</w:t>
      </w:r>
    </w:p>
    <w:p w14:paraId="1369EA4E">
      <w:pPr>
        <w:adjustRightInd w:val="0"/>
        <w:snapToGrid w:val="0"/>
        <w:spacing w:line="280" w:lineRule="exact"/>
        <w:ind w:left="0" w:leftChars="0" w:firstLine="540" w:firstLineChars="300"/>
        <w:jc w:val="left"/>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rPr>
        <w:t>（10）QD31=QD32+QD33+QD34+QD35+QD36</w:t>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rPr>
        <w:tab/>
      </w:r>
      <w:r>
        <w:rPr>
          <w:rFonts w:hint="eastAsia" w:ascii="Times New Roman" w:hAnsi="Times New Roman" w:eastAsia="宋体" w:cs="Times New Roman"/>
          <w:bCs/>
          <w:color w:val="auto"/>
          <w:sz w:val="18"/>
          <w:szCs w:val="18"/>
          <w:highlight w:val="none"/>
          <w:lang w:val="en-US" w:eastAsia="zh-CN"/>
        </w:rPr>
        <w:t xml:space="preserve">    </w:t>
      </w:r>
      <w:r>
        <w:rPr>
          <w:rFonts w:hint="eastAsia" w:ascii="Times New Roman" w:hAnsi="Times New Roman" w:eastAsia="宋体" w:cs="Times New Roman"/>
          <w:bCs/>
          <w:color w:val="auto"/>
          <w:sz w:val="18"/>
          <w:szCs w:val="18"/>
          <w:highlight w:val="none"/>
        </w:rPr>
        <w:t xml:space="preserve"> （11）QD27+QD28≤QD01</w:t>
      </w:r>
    </w:p>
    <w:p w14:paraId="7828D380">
      <w:pPr>
        <w:tabs>
          <w:tab w:val="left" w:pos="753"/>
        </w:tabs>
        <w:snapToGrid w:val="0"/>
        <w:spacing w:line="320" w:lineRule="exact"/>
        <w:ind w:left="0" w:leftChars="0" w:firstLine="0" w:firstLineChars="0"/>
        <w:jc w:val="center"/>
        <w:rPr>
          <w:rFonts w:ascii="Times New Roman" w:hAnsi="Times New Roman"/>
          <w:b/>
          <w:color w:val="auto"/>
          <w:sz w:val="32"/>
          <w:szCs w:val="32"/>
          <w:highlight w:val="none"/>
        </w:rPr>
      </w:pPr>
      <w:r>
        <w:rPr>
          <w:rFonts w:cs="Calibri"/>
          <w:bCs/>
          <w:color w:val="auto"/>
          <w:spacing w:val="-8"/>
          <w:sz w:val="18"/>
          <w:szCs w:val="18"/>
          <w:highlight w:val="none"/>
        </w:rPr>
        <w:br w:type="page"/>
      </w:r>
      <w:r>
        <w:rPr>
          <w:rFonts w:hint="eastAsia" w:ascii="黑体" w:hAnsi="黑体" w:eastAsia="黑体" w:cs="黑体"/>
          <w:b w:val="0"/>
          <w:bCs/>
          <w:color w:val="auto"/>
          <w:kern w:val="0"/>
          <w:sz w:val="32"/>
          <w:szCs w:val="32"/>
          <w:highlight w:val="none"/>
        </w:rPr>
        <w:t>指标解释</w:t>
      </w:r>
    </w:p>
    <w:p w14:paraId="511AD56B">
      <w:pPr>
        <w:spacing w:line="400" w:lineRule="exact"/>
        <w:rPr>
          <w:rFonts w:ascii="Times New Roman" w:hAnsi="Times New Roman"/>
          <w:bCs/>
          <w:color w:val="auto"/>
          <w:highlight w:val="none"/>
        </w:rPr>
      </w:pPr>
    </w:p>
    <w:p w14:paraId="735EE5B9">
      <w:pPr>
        <w:spacing w:line="400" w:lineRule="exact"/>
        <w:ind w:firstLine="420" w:firstLineChars="200"/>
        <w:rPr>
          <w:rFonts w:ascii="Times New Roman" w:hAnsi="Times New Roman"/>
          <w:bCs/>
          <w:color w:val="auto"/>
          <w:highlight w:val="none"/>
        </w:rPr>
      </w:pPr>
      <w:r>
        <w:rPr>
          <w:rFonts w:ascii="Times New Roman" w:hAnsi="Times New Roman" w:eastAsia="黑体"/>
          <w:bCs/>
          <w:color w:val="auto"/>
          <w:szCs w:val="21"/>
          <w:highlight w:val="none"/>
        </w:rPr>
        <w:t>从业人员期末人数</w:t>
      </w:r>
      <w:r>
        <w:rPr>
          <w:rFonts w:hint="eastAsia" w:ascii="Times New Roman" w:hAnsi="Times New Roman"/>
          <w:bCs/>
          <w:color w:val="auto"/>
          <w:highlight w:val="none"/>
        </w:rPr>
        <w:t>指年度最后一日在本单位工作，并取得工资或其他形式劳动报酬的人员数。该指标为时点指标，不包括最后一日当天及以前已经与单位解除劳动合同关系的人员，是在岗职工、劳务派遣人员及其他从业人员之和。其中不包括离开本单位仍保留劳动关系，并定期领取生活费的人员和在单位实习的各类在校学生。</w:t>
      </w:r>
    </w:p>
    <w:p w14:paraId="6A776BE6">
      <w:pPr>
        <w:spacing w:line="360" w:lineRule="exact"/>
        <w:ind w:firstLine="420" w:firstLineChars="200"/>
        <w:rPr>
          <w:rFonts w:ascii="宋体" w:hAnsi="宋体"/>
          <w:color w:val="auto"/>
          <w:szCs w:val="21"/>
          <w:highlight w:val="none"/>
        </w:rPr>
      </w:pPr>
      <w:r>
        <w:rPr>
          <w:rFonts w:hint="eastAsia" w:ascii="黑体" w:hAnsi="宋体" w:eastAsia="黑体"/>
          <w:color w:val="auto"/>
          <w:szCs w:val="21"/>
          <w:highlight w:val="none"/>
        </w:rPr>
        <w:t>在岗职工</w:t>
      </w:r>
      <w:r>
        <w:rPr>
          <w:rFonts w:hint="eastAsia" w:ascii="宋体" w:hAnsi="宋体"/>
          <w:color w:val="auto"/>
          <w:szCs w:val="21"/>
          <w:highlight w:val="none"/>
        </w:rPr>
        <w:t>指在本单位工作且与本单位签订劳动合同，并由单位支付各项工资和社会保险、住房公积金的人员，以及上述人员中由于学习、病伤、产假等原因暂未工作仍由单位支付工资的人员。在岗职工还包括：</w:t>
      </w:r>
    </w:p>
    <w:p w14:paraId="16271D59">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1.应订立劳动合同而未订立劳动合同人员；</w:t>
      </w:r>
    </w:p>
    <w:p w14:paraId="445BDCCB">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2.处于试用期人员；</w:t>
      </w:r>
    </w:p>
    <w:p w14:paraId="25C531F8">
      <w:pPr>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3.编制外招用的人员，如临时人员；</w:t>
      </w:r>
    </w:p>
    <w:p w14:paraId="1A8DABCC">
      <w:pPr>
        <w:spacing w:line="400" w:lineRule="exact"/>
        <w:ind w:firstLine="420" w:firstLineChars="200"/>
        <w:rPr>
          <w:rFonts w:ascii="Times New Roman" w:hAnsi="Times New Roman"/>
          <w:bCs/>
          <w:color w:val="auto"/>
          <w:szCs w:val="21"/>
          <w:highlight w:val="none"/>
        </w:rPr>
      </w:pPr>
      <w:r>
        <w:rPr>
          <w:rFonts w:hint="eastAsia" w:ascii="宋体" w:hAnsi="宋体"/>
          <w:color w:val="auto"/>
          <w:szCs w:val="21"/>
          <w:highlight w:val="none"/>
        </w:rPr>
        <w:t>4.派往外单位工作，但工资或其他形式劳动报酬仍由本单位发放的人员</w:t>
      </w:r>
      <w:r>
        <w:rPr>
          <w:rFonts w:hint="eastAsia" w:ascii="宋体" w:hAnsi="宋体"/>
          <w:bCs/>
          <w:color w:val="auto"/>
          <w:szCs w:val="21"/>
          <w:highlight w:val="none"/>
        </w:rPr>
        <w:t>（如挂职锻炼、外派工作等情况）</w:t>
      </w:r>
      <w:r>
        <w:rPr>
          <w:rFonts w:hint="eastAsia" w:ascii="宋体" w:hAnsi="宋体"/>
          <w:color w:val="auto"/>
          <w:szCs w:val="21"/>
          <w:highlight w:val="none"/>
        </w:rPr>
        <w:t>。</w:t>
      </w:r>
    </w:p>
    <w:p w14:paraId="3536F9EF">
      <w:pPr>
        <w:spacing w:line="400" w:lineRule="exact"/>
        <w:ind w:firstLine="420" w:firstLineChars="200"/>
        <w:rPr>
          <w:rFonts w:ascii="Times New Roman" w:hAnsi="Times New Roman"/>
          <w:bCs/>
          <w:color w:val="auto"/>
          <w:szCs w:val="21"/>
          <w:highlight w:val="none"/>
        </w:rPr>
      </w:pPr>
      <w:r>
        <w:rPr>
          <w:rFonts w:ascii="Times New Roman" w:hAnsi="Times New Roman"/>
          <w:bCs/>
          <w:color w:val="auto"/>
          <w:szCs w:val="21"/>
          <w:highlight w:val="none"/>
        </w:rPr>
        <w:t>在岗职工不包括：</w:t>
      </w:r>
    </w:p>
    <w:p w14:paraId="06DA3B82">
      <w:pPr>
        <w:spacing w:line="400" w:lineRule="exact"/>
        <w:ind w:firstLine="420" w:firstLineChars="200"/>
        <w:rPr>
          <w:rFonts w:ascii="Times New Roman" w:hAnsi="Times New Roman"/>
          <w:bCs/>
          <w:color w:val="auto"/>
          <w:szCs w:val="21"/>
          <w:highlight w:val="none"/>
        </w:rPr>
      </w:pPr>
      <w:r>
        <w:rPr>
          <w:rFonts w:ascii="Times New Roman" w:hAnsi="Times New Roman"/>
          <w:bCs/>
          <w:color w:val="auto"/>
          <w:szCs w:val="21"/>
          <w:highlight w:val="none"/>
        </w:rPr>
        <w:t>（1）本单位使用的且由本单位直接支付工资的劳务派遣人员，应统计在本单位“劳务派遣人员”中；</w:t>
      </w:r>
    </w:p>
    <w:p w14:paraId="32D2D2DA">
      <w:pPr>
        <w:spacing w:line="400" w:lineRule="exact"/>
        <w:ind w:firstLine="420" w:firstLineChars="200"/>
        <w:rPr>
          <w:rFonts w:ascii="Times New Roman" w:hAnsi="Times New Roman"/>
          <w:bCs/>
          <w:color w:val="auto"/>
          <w:szCs w:val="21"/>
          <w:highlight w:val="none"/>
        </w:rPr>
      </w:pPr>
      <w:r>
        <w:rPr>
          <w:rFonts w:ascii="Times New Roman" w:hAnsi="Times New Roman"/>
          <w:bCs/>
          <w:color w:val="auto"/>
          <w:szCs w:val="21"/>
          <w:highlight w:val="none"/>
        </w:rPr>
        <w:t>（2）本单位以劳务外包形式使用的人员，由承包劳务的单位统计为在岗职工。</w:t>
      </w:r>
    </w:p>
    <w:p w14:paraId="701835CF">
      <w:pPr>
        <w:spacing w:line="360" w:lineRule="exact"/>
        <w:ind w:firstLine="420" w:firstLineChars="200"/>
        <w:rPr>
          <w:rFonts w:hint="eastAsia" w:ascii="宋体" w:hAnsi="宋体"/>
          <w:b/>
          <w:bCs/>
          <w:color w:val="auto"/>
          <w:szCs w:val="21"/>
          <w:highlight w:val="none"/>
        </w:rPr>
      </w:pPr>
      <w:r>
        <w:rPr>
          <w:rFonts w:hint="eastAsia" w:ascii="黑体" w:hAnsi="宋体" w:eastAsia="黑体"/>
          <w:color w:val="auto"/>
          <w:szCs w:val="21"/>
          <w:highlight w:val="none"/>
        </w:rPr>
        <w:t>劳务派遣人员</w:t>
      </w:r>
      <w:r>
        <w:rPr>
          <w:rFonts w:hint="eastAsia" w:ascii="仿宋_GB2312" w:eastAsia="仿宋_GB2312"/>
          <w:color w:val="auto"/>
          <w:szCs w:val="21"/>
          <w:highlight w:val="none"/>
        </w:rPr>
        <w:t xml:space="preserve">  </w:t>
      </w:r>
      <w:r>
        <w:rPr>
          <w:rFonts w:hint="eastAsia" w:ascii="宋体" w:hAnsi="宋体"/>
          <w:color w:val="auto"/>
          <w:szCs w:val="21"/>
          <w:highlight w:val="none"/>
        </w:rPr>
        <w:t>根据《中华人民共和国劳动合同法》规定，指与劳务派遣单位签订劳动合同，并被劳务派遣单位派遣到实际用工单位工作，且劳务派遣单位与实际用工单位签订《劳务派遣协议》的人员。</w:t>
      </w:r>
    </w:p>
    <w:p w14:paraId="04BDE37D">
      <w:pPr>
        <w:spacing w:line="360" w:lineRule="exact"/>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劳务派遣人员</w:t>
      </w:r>
      <w:r>
        <w:rPr>
          <w:rFonts w:hint="eastAsia" w:ascii="宋体" w:hAnsi="宋体"/>
          <w:color w:val="auto"/>
          <w:szCs w:val="21"/>
          <w:highlight w:val="none"/>
        </w:rPr>
        <w:t>由实际用工单位</w:t>
      </w:r>
      <w:r>
        <w:rPr>
          <w:rFonts w:hint="eastAsia" w:ascii="宋体" w:hAnsi="宋体"/>
          <w:color w:val="auto"/>
          <w:szCs w:val="21"/>
          <w:highlight w:val="none"/>
          <w:lang w:eastAsia="zh-CN"/>
        </w:rPr>
        <w:t>统计为劳务派遣人员，</w:t>
      </w:r>
      <w:r>
        <w:rPr>
          <w:rFonts w:hint="eastAsia" w:ascii="宋体" w:hAnsi="宋体"/>
          <w:color w:val="auto"/>
          <w:szCs w:val="21"/>
          <w:highlight w:val="none"/>
        </w:rPr>
        <w:t>劳务派遣单位（派出单位）不</w:t>
      </w:r>
      <w:r>
        <w:rPr>
          <w:rFonts w:hint="eastAsia" w:ascii="宋体" w:hAnsi="宋体"/>
          <w:color w:val="auto"/>
          <w:szCs w:val="21"/>
          <w:highlight w:val="none"/>
          <w:lang w:eastAsia="zh-CN"/>
        </w:rPr>
        <w:t>进行统计</w:t>
      </w:r>
      <w:r>
        <w:rPr>
          <w:rFonts w:hint="eastAsia" w:ascii="宋体" w:hAnsi="宋体"/>
          <w:color w:val="auto"/>
          <w:szCs w:val="21"/>
          <w:highlight w:val="none"/>
        </w:rPr>
        <w:t>。</w:t>
      </w:r>
    </w:p>
    <w:p w14:paraId="06C0D918">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劳务外包人员由承包劳务的法人单位统计为在岗职工</w:t>
      </w:r>
      <w:r>
        <w:rPr>
          <w:rFonts w:hint="eastAsia" w:ascii="宋体" w:hAnsi="宋体"/>
          <w:color w:val="auto"/>
          <w:szCs w:val="21"/>
          <w:highlight w:val="none"/>
          <w:lang w:eastAsia="zh-CN"/>
        </w:rPr>
        <w:t>，实际用工单位不进行统计</w:t>
      </w:r>
      <w:r>
        <w:rPr>
          <w:rFonts w:hint="eastAsia" w:ascii="宋体" w:hAnsi="宋体"/>
          <w:color w:val="auto"/>
          <w:szCs w:val="21"/>
          <w:highlight w:val="none"/>
        </w:rPr>
        <w:t>。如承包劳务的是个体经营户或自然人，均不包括在本制度统计范围内。</w:t>
      </w:r>
    </w:p>
    <w:p w14:paraId="6EB0F702">
      <w:pPr>
        <w:spacing w:line="400" w:lineRule="exact"/>
        <w:ind w:firstLine="420" w:firstLineChars="200"/>
        <w:rPr>
          <w:bCs/>
          <w:color w:val="auto"/>
          <w:szCs w:val="21"/>
          <w:highlight w:val="none"/>
        </w:rPr>
      </w:pPr>
      <w:r>
        <w:rPr>
          <w:rFonts w:ascii="Times New Roman" w:hAnsi="Times New Roman" w:eastAsia="黑体"/>
          <w:bCs/>
          <w:color w:val="auto"/>
          <w:szCs w:val="21"/>
          <w:highlight w:val="none"/>
        </w:rPr>
        <w:t>其他从业人员</w:t>
      </w:r>
      <w:r>
        <w:rPr>
          <w:rFonts w:hint="eastAsia"/>
          <w:bCs/>
          <w:color w:val="auto"/>
          <w:szCs w:val="21"/>
          <w:highlight w:val="none"/>
        </w:rPr>
        <w:t>指在本单位工作，不能归入在岗职工、劳务派遣人员中的人员。此类人员是实际参加本单位生产或工作并从本单位取得劳动报酬的人员。具体包括：非全日制人员、聘用的正式离退休人员、兼职人员（包括利用课余时间打工的在校学生）以及在本单位中工作的外籍和港澳台方人员。</w:t>
      </w:r>
    </w:p>
    <w:p w14:paraId="7871A3EF">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留学归国人员</w:t>
      </w:r>
      <w:r>
        <w:rPr>
          <w:rFonts w:ascii="Times New Roman" w:hAnsi="Times New Roman"/>
          <w:bCs/>
          <w:color w:val="auto"/>
          <w:szCs w:val="21"/>
          <w:highlight w:val="none"/>
        </w:rPr>
        <w:t>指从业人员中出国学习、取得学位的归国人员。</w:t>
      </w:r>
    </w:p>
    <w:p w14:paraId="5197BBC8">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外籍常住人员</w:t>
      </w:r>
      <w:r>
        <w:rPr>
          <w:rFonts w:ascii="Times New Roman" w:hAnsi="Times New Roman"/>
          <w:bCs/>
          <w:color w:val="auto"/>
          <w:szCs w:val="21"/>
          <w:highlight w:val="none"/>
        </w:rPr>
        <w:t>指企业从业人员中在大陆连续居住半年以上的外籍人员数。</w:t>
      </w:r>
    </w:p>
    <w:p w14:paraId="43665052">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引进外籍专家</w:t>
      </w:r>
      <w:r>
        <w:rPr>
          <w:rFonts w:ascii="Times New Roman" w:hAnsi="Times New Roman"/>
          <w:bCs/>
          <w:color w:val="auto"/>
          <w:szCs w:val="21"/>
          <w:highlight w:val="none"/>
        </w:rPr>
        <w:t>指企业引进的在企业从事专业技术、管理、教学、科研等工作的外籍专业技术人员，可以是掌握领先技术的高端专家、企业高管，也可以是有专门技能的专业技术人员。</w:t>
      </w:r>
    </w:p>
    <w:p w14:paraId="0979408F">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当年新增从业人员</w:t>
      </w:r>
      <w:r>
        <w:rPr>
          <w:rFonts w:ascii="Times New Roman" w:hAnsi="Times New Roman"/>
          <w:bCs/>
          <w:color w:val="auto"/>
          <w:szCs w:val="21"/>
          <w:highlight w:val="none"/>
        </w:rPr>
        <w:t>指报告期内企业新增录用的从业人员。</w:t>
      </w:r>
    </w:p>
    <w:p w14:paraId="604BB673">
      <w:pPr>
        <w:spacing w:line="400" w:lineRule="exact"/>
        <w:ind w:firstLine="420" w:firstLineChars="200"/>
        <w:rPr>
          <w:bCs/>
          <w:color w:val="auto"/>
          <w:szCs w:val="21"/>
          <w:highlight w:val="none"/>
        </w:rPr>
      </w:pPr>
      <w:r>
        <w:rPr>
          <w:rFonts w:ascii="Times New Roman" w:hAnsi="Times New Roman" w:eastAsia="黑体"/>
          <w:bCs/>
          <w:color w:val="auto"/>
          <w:szCs w:val="21"/>
          <w:highlight w:val="none"/>
        </w:rPr>
        <w:t>当年吸纳高校应届毕业生</w:t>
      </w:r>
      <w:r>
        <w:rPr>
          <w:rFonts w:hint="eastAsia"/>
          <w:bCs/>
          <w:color w:val="auto"/>
          <w:szCs w:val="21"/>
          <w:highlight w:val="none"/>
        </w:rPr>
        <w:t>指报告期内企业当年在境内各类高校毕业生中招收的应届毕业生（包含国家承认的大专学历学生）。</w:t>
      </w:r>
    </w:p>
    <w:p w14:paraId="3ECC1405">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从事科研或科研辅助工作的应届毕业生</w:t>
      </w:r>
      <w:r>
        <w:rPr>
          <w:rFonts w:ascii="Times New Roman" w:hAnsi="Times New Roman"/>
          <w:bCs/>
          <w:color w:val="auto"/>
          <w:szCs w:val="21"/>
          <w:highlight w:val="none"/>
        </w:rPr>
        <w:t>指报告期内企业当年吸纳高校应届毕业生中主要从事科研或科研辅助工作的职工人数。</w:t>
      </w:r>
    </w:p>
    <w:p w14:paraId="536B0FB8">
      <w:pPr>
        <w:spacing w:line="400" w:lineRule="exact"/>
        <w:ind w:firstLine="420" w:firstLineChars="200"/>
        <w:rPr>
          <w:rFonts w:hint="eastAsia" w:ascii="Times New Roman" w:hAnsi="Times New Roman"/>
          <w:bCs/>
          <w:color w:val="auto"/>
          <w:szCs w:val="21"/>
          <w:highlight w:val="none"/>
        </w:rPr>
      </w:pPr>
      <w:r>
        <w:rPr>
          <w:rFonts w:ascii="Times New Roman" w:hAnsi="Times New Roman" w:eastAsia="黑体"/>
          <w:bCs/>
          <w:color w:val="auto"/>
          <w:szCs w:val="21"/>
          <w:highlight w:val="none"/>
        </w:rPr>
        <w:t>从业人员平均人数</w:t>
      </w:r>
      <w:r>
        <w:rPr>
          <w:rFonts w:hint="eastAsia" w:ascii="Times New Roman" w:hAnsi="Times New Roman"/>
          <w:bCs/>
          <w:color w:val="auto"/>
          <w:szCs w:val="21"/>
          <w:highlight w:val="none"/>
        </w:rPr>
        <w:t>指月度或年度平均拥有的从业人员数。年度平均人数按单位实际月平均人数计算得到，不得用期末人数替代。</w:t>
      </w:r>
    </w:p>
    <w:p w14:paraId="5D8FBC9B">
      <w:pPr>
        <w:spacing w:line="400" w:lineRule="exact"/>
        <w:ind w:firstLine="420" w:firstLineChars="200"/>
        <w:rPr>
          <w:rFonts w:hint="eastAsia" w:ascii="Times New Roman" w:hAnsi="Times New Roman"/>
          <w:bCs/>
          <w:color w:val="auto"/>
          <w:szCs w:val="21"/>
          <w:highlight w:val="none"/>
        </w:rPr>
      </w:pPr>
      <w:r>
        <w:rPr>
          <w:rFonts w:hint="eastAsia" w:ascii="宋体" w:hAnsi="宋体"/>
          <w:color w:val="auto"/>
          <w:szCs w:val="21"/>
          <w:highlight w:val="none"/>
        </w:rPr>
        <w:t>1.</w:t>
      </w:r>
      <w:r>
        <w:rPr>
          <w:rFonts w:hint="eastAsia" w:ascii="Times New Roman" w:hAnsi="Times New Roman"/>
          <w:bCs/>
          <w:color w:val="auto"/>
          <w:szCs w:val="21"/>
          <w:highlight w:val="none"/>
        </w:rPr>
        <w:t>月平均人数是以报告月内每天实有的全部人数之和，除以报告月的日历日数。计算公式为：</w:t>
      </w:r>
    </w:p>
    <w:p w14:paraId="6C2868C1">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月平均人数=报告月内每天实有的全部人数之和/ 报告月的日历日数</w:t>
      </w:r>
    </w:p>
    <w:p w14:paraId="1C806F50">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对人员增减变动很小的单位，其月平均人数也可以用月初人数与月末人数之和除以2求得。计算公式为：</w:t>
      </w:r>
    </w:p>
    <w:p w14:paraId="7F37EDF7">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月平均人数= (月初人数+月末人数) / 2</w:t>
      </w:r>
    </w:p>
    <w:p w14:paraId="7D015BF2">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在计算月平均人数时应注意：</w:t>
      </w:r>
    </w:p>
    <w:p w14:paraId="00E9B6FF">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（1）公休日与节假日的人数应按放假前最后一个工作日的人数计算。</w:t>
      </w:r>
    </w:p>
    <w:p w14:paraId="790EB918">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（2）对新建立不满整月的单位（月中或月末建立），在计算报告月的平均人数时，应以其建立后各天实有人数之和，除以整月天数求得，而不能除以该单位建立的天数。</w:t>
      </w:r>
    </w:p>
    <w:p w14:paraId="0AA07D94">
      <w:pPr>
        <w:spacing w:line="400" w:lineRule="exact"/>
        <w:ind w:firstLine="420" w:firstLineChars="200"/>
        <w:rPr>
          <w:rFonts w:hint="eastAsia" w:ascii="Times New Roman" w:hAnsi="Times New Roman"/>
          <w:bCs/>
          <w:color w:val="auto"/>
          <w:szCs w:val="21"/>
          <w:highlight w:val="none"/>
        </w:rPr>
      </w:pPr>
      <w:r>
        <w:rPr>
          <w:rFonts w:hint="eastAsia" w:ascii="宋体" w:hAnsi="宋体"/>
          <w:color w:val="auto"/>
          <w:szCs w:val="21"/>
          <w:highlight w:val="none"/>
        </w:rPr>
        <w:t>2.</w:t>
      </w:r>
      <w:r>
        <w:rPr>
          <w:rFonts w:hint="eastAsia" w:ascii="Times New Roman" w:hAnsi="Times New Roman"/>
          <w:bCs/>
          <w:color w:val="auto"/>
          <w:szCs w:val="21"/>
          <w:highlight w:val="none"/>
        </w:rPr>
        <w:t>年平均人数是以12个月的平均人数之和除以12求得。计算公式为：</w:t>
      </w:r>
    </w:p>
    <w:p w14:paraId="10660AB3">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年平均人数=报告年内12个月平均人数之和/12</w:t>
      </w:r>
    </w:p>
    <w:p w14:paraId="684FB8AB">
      <w:pPr>
        <w:spacing w:line="400" w:lineRule="exact"/>
        <w:ind w:firstLine="420" w:firstLineChars="200"/>
        <w:rPr>
          <w:rFonts w:hint="eastAsia" w:ascii="Times New Roman" w:hAnsi="Times New Roman"/>
          <w:bCs/>
          <w:color w:val="auto"/>
          <w:szCs w:val="21"/>
          <w:highlight w:val="none"/>
        </w:rPr>
      </w:pPr>
      <w:r>
        <w:rPr>
          <w:rFonts w:hint="eastAsia" w:ascii="Times New Roman" w:hAnsi="Times New Roman"/>
          <w:bCs/>
          <w:color w:val="auto"/>
          <w:szCs w:val="21"/>
          <w:highlight w:val="none"/>
        </w:rPr>
        <w:t>在年内新成立的单位年平均人数计算方法为：从实际开工之月起到年底的月平均人数相加除以12个月。计算公式为：</w:t>
      </w:r>
    </w:p>
    <w:p w14:paraId="26E8D7CC">
      <w:pPr>
        <w:spacing w:line="400" w:lineRule="exact"/>
        <w:ind w:firstLine="420" w:firstLineChars="200"/>
        <w:rPr>
          <w:rFonts w:ascii="Times New Roman" w:hAnsi="Times New Roman"/>
          <w:bCs/>
          <w:color w:val="auto"/>
          <w:szCs w:val="21"/>
          <w:highlight w:val="none"/>
        </w:rPr>
      </w:pPr>
      <w:r>
        <w:rPr>
          <w:rFonts w:hint="eastAsia" w:ascii="Times New Roman" w:hAnsi="Times New Roman"/>
          <w:bCs/>
          <w:color w:val="auto"/>
          <w:szCs w:val="21"/>
          <w:highlight w:val="none"/>
        </w:rPr>
        <w:t>年平均人数=(开工之月平均人数+…+12月平均人数)/12</w:t>
      </w:r>
    </w:p>
    <w:p w14:paraId="2CD8D555">
      <w:pPr>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具有研究生学历（位）人员</w:t>
      </w:r>
      <w:bookmarkStart w:id="31" w:name="_Hlk121747336"/>
      <w:r>
        <w:rPr>
          <w:rFonts w:ascii="Times New Roman" w:hAnsi="Times New Roman"/>
          <w:bCs/>
          <w:color w:val="auto"/>
          <w:szCs w:val="21"/>
          <w:highlight w:val="none"/>
        </w:rPr>
        <w:t>指接受的最高一级教育为研究生教育并取得毕业证书或获得硕士、博士学位证书的人员，不包括肄业、结业、在读或辍学人员。</w:t>
      </w:r>
      <w:bookmarkEnd w:id="31"/>
    </w:p>
    <w:p w14:paraId="2D474A6D">
      <w:pPr>
        <w:spacing w:line="400" w:lineRule="exact"/>
        <w:ind w:firstLine="420" w:firstLineChars="200"/>
        <w:jc w:val="left"/>
        <w:rPr>
          <w:rFonts w:ascii="Times New Roman" w:hAnsi="Times New Roman"/>
          <w:bCs/>
          <w:color w:val="auto"/>
          <w:sz w:val="24"/>
          <w:highlight w:val="none"/>
        </w:rPr>
      </w:pPr>
      <w:r>
        <w:rPr>
          <w:rFonts w:ascii="Times New Roman" w:hAnsi="Times New Roman" w:eastAsia="黑体"/>
          <w:bCs/>
          <w:color w:val="auto"/>
          <w:szCs w:val="21"/>
          <w:highlight w:val="none"/>
        </w:rPr>
        <w:t>具有大学本科学历（位）人员</w:t>
      </w:r>
      <w:r>
        <w:rPr>
          <w:rFonts w:ascii="Times New Roman" w:hAnsi="Times New Roman"/>
          <w:bCs/>
          <w:color w:val="auto"/>
          <w:szCs w:val="21"/>
          <w:highlight w:val="none"/>
        </w:rPr>
        <w:t>指接受的最高一级教育为大学本科教育并取得毕业证书或获得学士学位证书的人员，不包括肄业、结业、在读或辍学人员。</w:t>
      </w:r>
    </w:p>
    <w:p w14:paraId="40317E38">
      <w:pPr>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具有大学专科学历人员</w:t>
      </w:r>
      <w:r>
        <w:rPr>
          <w:rFonts w:ascii="Times New Roman" w:hAnsi="Times New Roman"/>
          <w:bCs/>
          <w:color w:val="auto"/>
          <w:szCs w:val="21"/>
          <w:highlight w:val="none"/>
        </w:rPr>
        <w:t>指接受的最高一级教育为大学专科教育并取得毕业证书的人员，不包括肄业、结业、在读或辍学人员。</w:t>
      </w:r>
    </w:p>
    <w:p w14:paraId="00361BEF">
      <w:pPr>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技能人员</w:t>
      </w:r>
      <w:r>
        <w:rPr>
          <w:rFonts w:hint="eastAsia"/>
          <w:bCs/>
          <w:color w:val="auto"/>
          <w:szCs w:val="21"/>
          <w:highlight w:val="none"/>
        </w:rPr>
        <w:t>指在本单位管理岗位和专业技术岗位之外从事生产性或服务性工作，并持有国家职业资格证书的人员。在管理岗位和专业技术岗位工作的，无论是否持有国家职业资格证书，均不统计为技能人员。国家职业资格证书包括国家职业资格证书一级、二级、三级、四级、五级，同一个人持有两个及以上国家职业资格证书的，按最高等级证书认定。</w:t>
      </w:r>
    </w:p>
    <w:p w14:paraId="058AA227">
      <w:pPr>
        <w:spacing w:line="400" w:lineRule="exact"/>
        <w:ind w:firstLine="420" w:firstLineChars="200"/>
        <w:jc w:val="left"/>
        <w:rPr>
          <w:rFonts w:ascii="Times New Roman" w:hAnsi="Times New Roman"/>
          <w:bCs/>
          <w:color w:val="auto"/>
          <w:sz w:val="24"/>
          <w:highlight w:val="none"/>
        </w:rPr>
      </w:pPr>
      <w:r>
        <w:rPr>
          <w:rFonts w:ascii="Times New Roman" w:hAnsi="Times New Roman" w:eastAsia="黑体"/>
          <w:bCs/>
          <w:color w:val="auto"/>
          <w:szCs w:val="21"/>
          <w:highlight w:val="none"/>
        </w:rPr>
        <w:t>高级技师（国家职业资格一级）</w:t>
      </w:r>
      <w:r>
        <w:rPr>
          <w:rFonts w:ascii="Times New Roman" w:hAnsi="Times New Roman"/>
          <w:bCs/>
          <w:color w:val="auto"/>
          <w:szCs w:val="21"/>
          <w:highlight w:val="none"/>
        </w:rPr>
        <w:t>指持有一级《国家职业资格证书》的人员。</w:t>
      </w:r>
    </w:p>
    <w:p w14:paraId="1C2E3430">
      <w:pPr>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技师（国家职业资格二级）</w:t>
      </w:r>
      <w:r>
        <w:rPr>
          <w:rFonts w:ascii="Times New Roman" w:hAnsi="Times New Roman"/>
          <w:bCs/>
          <w:color w:val="auto"/>
          <w:szCs w:val="21"/>
          <w:highlight w:val="none"/>
        </w:rPr>
        <w:t>指持有二级《国家职业资格证书》的人员。</w:t>
      </w:r>
    </w:p>
    <w:p w14:paraId="6E51C87F">
      <w:pPr>
        <w:spacing w:line="400" w:lineRule="exact"/>
        <w:ind w:firstLine="420" w:firstLineChars="200"/>
        <w:jc w:val="left"/>
        <w:rPr>
          <w:rFonts w:ascii="Times New Roman" w:hAnsi="Times New Roman"/>
          <w:bCs/>
          <w:color w:val="auto"/>
          <w:sz w:val="24"/>
          <w:highlight w:val="none"/>
        </w:rPr>
      </w:pPr>
      <w:r>
        <w:rPr>
          <w:rFonts w:ascii="Times New Roman" w:hAnsi="Times New Roman" w:eastAsia="黑体"/>
          <w:bCs/>
          <w:color w:val="auto"/>
          <w:szCs w:val="21"/>
          <w:highlight w:val="none"/>
        </w:rPr>
        <w:t>高级技能人员（国家职业资格三级）</w:t>
      </w:r>
      <w:r>
        <w:rPr>
          <w:rFonts w:ascii="Times New Roman" w:hAnsi="Times New Roman"/>
          <w:bCs/>
          <w:color w:val="auto"/>
          <w:szCs w:val="21"/>
          <w:highlight w:val="none"/>
        </w:rPr>
        <w:t>指持有三级《国家职业资格证书》的人员。</w:t>
      </w:r>
    </w:p>
    <w:p w14:paraId="4B358F87">
      <w:pPr>
        <w:spacing w:line="400" w:lineRule="exact"/>
        <w:ind w:firstLine="420" w:firstLineChars="200"/>
        <w:jc w:val="left"/>
        <w:rPr>
          <w:rFonts w:ascii="Times New Roman" w:hAnsi="Times New Roman"/>
          <w:bCs/>
          <w:color w:val="auto"/>
          <w:sz w:val="24"/>
          <w:highlight w:val="none"/>
        </w:rPr>
      </w:pPr>
      <w:r>
        <w:rPr>
          <w:rFonts w:ascii="Times New Roman" w:hAnsi="Times New Roman" w:eastAsia="黑体"/>
          <w:bCs/>
          <w:color w:val="auto"/>
          <w:szCs w:val="21"/>
          <w:highlight w:val="none"/>
        </w:rPr>
        <w:t>中级技能人员（国家职业资格四级）</w:t>
      </w:r>
      <w:r>
        <w:rPr>
          <w:rFonts w:ascii="Times New Roman" w:hAnsi="Times New Roman"/>
          <w:bCs/>
          <w:color w:val="auto"/>
          <w:szCs w:val="21"/>
          <w:highlight w:val="none"/>
        </w:rPr>
        <w:t>指持有四级《国家职业资格证书》的人员。</w:t>
      </w:r>
    </w:p>
    <w:p w14:paraId="7C1381A2">
      <w:pPr>
        <w:spacing w:line="400" w:lineRule="exact"/>
        <w:ind w:firstLine="420" w:firstLineChars="200"/>
        <w:jc w:val="left"/>
        <w:rPr>
          <w:rFonts w:ascii="Times New Roman" w:hAnsi="Times New Roman" w:eastAsia="黑体"/>
          <w:bCs/>
          <w:color w:val="auto"/>
          <w:szCs w:val="21"/>
          <w:highlight w:val="none"/>
        </w:rPr>
      </w:pPr>
      <w:r>
        <w:rPr>
          <w:rFonts w:ascii="Times New Roman" w:hAnsi="Times New Roman" w:eastAsia="黑体"/>
          <w:bCs/>
          <w:color w:val="auto"/>
          <w:szCs w:val="21"/>
          <w:highlight w:val="none"/>
        </w:rPr>
        <w:t>初级技能人员（国家职业资格五级）</w:t>
      </w:r>
      <w:r>
        <w:rPr>
          <w:rFonts w:ascii="Times New Roman" w:hAnsi="Times New Roman"/>
          <w:bCs/>
          <w:color w:val="auto"/>
          <w:szCs w:val="21"/>
          <w:highlight w:val="none"/>
        </w:rPr>
        <w:t>指持有五级《国家职业资格证书》的人员</w:t>
      </w:r>
      <w:r>
        <w:rPr>
          <w:rFonts w:ascii="Times New Roman" w:hAnsi="Times New Roman" w:eastAsia="黑体"/>
          <w:bCs/>
          <w:color w:val="auto"/>
          <w:szCs w:val="21"/>
          <w:highlight w:val="none"/>
        </w:rPr>
        <w:t>。</w:t>
      </w:r>
    </w:p>
    <w:p w14:paraId="739EFEF8">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中层及以上管理人员</w:t>
      </w:r>
      <w:r>
        <w:rPr>
          <w:rFonts w:hint="eastAsia" w:ascii="Times New Roman" w:hAnsi="Times New Roman"/>
          <w:bCs/>
          <w:color w:val="auto"/>
          <w:szCs w:val="21"/>
          <w:highlight w:val="none"/>
        </w:rPr>
        <w:t>指在单位及其职能部门中担任领导职务并具有决策、管理权的人员。包括单位主要负责人或高级管理人员（包含同级别及副职）、单位内的一级部门或内设机构的负责人（包含同级别及副职），特大型单位可以包括一级部门内设的管理机构的负责人（包含副职）。具体包括中国共产党机关负责人员、国家机关负责人员、民主党派和工商联负责人员、人民团体和群众团体、社会组织及其他成员组织负责人员、基层群众自治组织负责人员、企事业单位负责人员。</w:t>
      </w:r>
    </w:p>
    <w:p w14:paraId="79E9896E">
      <w:pPr>
        <w:spacing w:line="400" w:lineRule="exact"/>
        <w:ind w:firstLine="420" w:firstLineChars="200"/>
        <w:rPr>
          <w:rFonts w:ascii="Times New Roman" w:hAnsi="Times New Roman"/>
          <w:bCs/>
          <w:color w:val="auto"/>
          <w:kern w:val="0"/>
          <w:highlight w:val="none"/>
        </w:rPr>
      </w:pPr>
      <w:r>
        <w:rPr>
          <w:rFonts w:ascii="Times New Roman" w:hAnsi="Times New Roman" w:eastAsia="黑体"/>
          <w:bCs/>
          <w:color w:val="auto"/>
          <w:szCs w:val="21"/>
          <w:highlight w:val="none"/>
        </w:rPr>
        <w:t>专业技术人员</w:t>
      </w:r>
      <w:r>
        <w:rPr>
          <w:rFonts w:hint="eastAsia" w:ascii="Times New Roman" w:hAnsi="Times New Roman"/>
          <w:bCs/>
          <w:color w:val="auto"/>
          <w:szCs w:val="21"/>
          <w:highlight w:val="none"/>
        </w:rPr>
        <w:t>指专门从事各种科学研究和专业技术工作的人员。从事本类职业工作的人员，一般都要求接受过系统的专业教育，具备相应的专业理论知识，并且按规定的标准条件评聘专业技术职务，以及未聘任专业技术职务，但在专业技术岗位上工作的人员。具体包括科学研究人员、工程技术人员、农业技术人员、飞机和船舶技术人员、卫生专业技术人员、经济和金融专业人员、法律、社会和宗教专业人员、教学人员、文学艺术、体育专业人员、新闻出版、文化专业人员、其他专业技术人员。</w:t>
      </w:r>
    </w:p>
    <w:p w14:paraId="2B1D32D3">
      <w:pPr>
        <w:pStyle w:val="4"/>
        <w:spacing w:line="240" w:lineRule="auto"/>
        <w:rPr>
          <w:rFonts w:ascii="Times New Roman" w:hAnsi="Times New Roman"/>
          <w:bCs w:val="0"/>
          <w:color w:val="auto"/>
          <w:sz w:val="28"/>
          <w:szCs w:val="28"/>
          <w:highlight w:val="none"/>
        </w:rPr>
      </w:pPr>
      <w:r>
        <w:rPr>
          <w:rFonts w:ascii="Times New Roman" w:hAnsi="Times New Roman"/>
          <w:b w:val="0"/>
          <w:color w:val="auto"/>
          <w:sz w:val="28"/>
          <w:szCs w:val="28"/>
          <w:highlight w:val="none"/>
        </w:rPr>
        <w:br w:type="page"/>
      </w:r>
      <w:bookmarkStart w:id="32" w:name="_Toc121734443"/>
      <w:r>
        <w:rPr>
          <w:rFonts w:ascii="Times New Roman" w:hAnsi="Times New Roman"/>
          <w:bCs w:val="0"/>
          <w:color w:val="auto"/>
          <w:sz w:val="28"/>
          <w:szCs w:val="28"/>
          <w:highlight w:val="none"/>
        </w:rPr>
        <w:t>研究开发项目概况</w:t>
      </w:r>
      <w:bookmarkEnd w:id="32"/>
    </w:p>
    <w:tbl>
      <w:tblPr>
        <w:tblStyle w:val="34"/>
        <w:tblW w:w="0" w:type="auto"/>
        <w:jc w:val="center"/>
        <w:tblLayout w:type="fixed"/>
        <w:tblCellMar>
          <w:top w:w="0" w:type="dxa"/>
          <w:left w:w="108" w:type="dxa"/>
          <w:bottom w:w="0" w:type="dxa"/>
          <w:right w:w="108" w:type="dxa"/>
        </w:tblCellMar>
      </w:tblPr>
      <w:tblGrid>
        <w:gridCol w:w="3283"/>
        <w:gridCol w:w="3462"/>
        <w:gridCol w:w="1037"/>
        <w:gridCol w:w="1917"/>
      </w:tblGrid>
      <w:tr w14:paraId="364FCE83">
        <w:tblPrEx>
          <w:tblCellMar>
            <w:top w:w="0" w:type="dxa"/>
            <w:left w:w="108" w:type="dxa"/>
            <w:bottom w:w="0" w:type="dxa"/>
            <w:right w:w="108" w:type="dxa"/>
          </w:tblCellMar>
        </w:tblPrEx>
        <w:trPr>
          <w:trHeight w:val="284" w:hRule="atLeast"/>
          <w:jc w:val="center"/>
        </w:trPr>
        <w:tc>
          <w:tcPr>
            <w:tcW w:w="6745" w:type="dxa"/>
            <w:gridSpan w:val="2"/>
            <w:noWrap w:val="0"/>
            <w:vAlign w:val="center"/>
          </w:tcPr>
          <w:p w14:paraId="0074AE18">
            <w:pPr>
              <w:snapToGrid w:val="0"/>
              <w:spacing w:line="240" w:lineRule="exact"/>
              <w:rPr>
                <w:rFonts w:ascii="Times New Roman" w:hAnsi="Times New Roman"/>
                <w:bCs/>
                <w:color w:val="auto"/>
                <w:sz w:val="18"/>
                <w:szCs w:val="24"/>
                <w:highlight w:val="none"/>
              </w:rPr>
            </w:pPr>
          </w:p>
        </w:tc>
        <w:tc>
          <w:tcPr>
            <w:tcW w:w="1037" w:type="dxa"/>
            <w:noWrap w:val="0"/>
            <w:vAlign w:val="center"/>
          </w:tcPr>
          <w:p w14:paraId="3A681586">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表号：</w:t>
            </w:r>
          </w:p>
        </w:tc>
        <w:tc>
          <w:tcPr>
            <w:tcW w:w="1917" w:type="dxa"/>
            <w:noWrap w:val="0"/>
            <w:vAlign w:val="center"/>
          </w:tcPr>
          <w:p w14:paraId="52550951">
            <w:pPr>
              <w:spacing w:line="240" w:lineRule="exact"/>
              <w:jc w:val="right"/>
              <w:rPr>
                <w:rFonts w:ascii="Times New Roman" w:hAnsi="Times New Roman"/>
                <w:bCs/>
                <w:color w:val="auto"/>
                <w:sz w:val="18"/>
                <w:szCs w:val="24"/>
                <w:highlight w:val="none"/>
              </w:rPr>
            </w:pPr>
            <w:r>
              <w:rPr>
                <w:rFonts w:ascii="Times New Roman" w:hAnsi="Times New Roman"/>
                <w:bCs/>
                <w:color w:val="auto"/>
                <w:sz w:val="18"/>
                <w:szCs w:val="18"/>
                <w:highlight w:val="none"/>
              </w:rPr>
              <w:t>ＧＱ－００４</w:t>
            </w:r>
            <w:r>
              <w:rPr>
                <w:rFonts w:ascii="Times New Roman" w:hAnsi="Times New Roman"/>
                <w:bCs/>
                <w:color w:val="auto"/>
                <w:sz w:val="18"/>
                <w:highlight w:val="none"/>
              </w:rPr>
              <w:t>表</w:t>
            </w:r>
          </w:p>
        </w:tc>
      </w:tr>
      <w:tr w14:paraId="5422E050">
        <w:tblPrEx>
          <w:tblCellMar>
            <w:top w:w="0" w:type="dxa"/>
            <w:left w:w="108" w:type="dxa"/>
            <w:bottom w:w="0" w:type="dxa"/>
            <w:right w:w="108" w:type="dxa"/>
          </w:tblCellMar>
        </w:tblPrEx>
        <w:trPr>
          <w:trHeight w:val="284" w:hRule="atLeast"/>
          <w:jc w:val="center"/>
        </w:trPr>
        <w:tc>
          <w:tcPr>
            <w:tcW w:w="6745" w:type="dxa"/>
            <w:gridSpan w:val="2"/>
            <w:noWrap w:val="0"/>
            <w:vAlign w:val="center"/>
          </w:tcPr>
          <w:p w14:paraId="0C2A6B4A">
            <w:pPr>
              <w:snapToGrid w:val="0"/>
              <w:spacing w:line="240" w:lineRule="exact"/>
              <w:rPr>
                <w:rFonts w:ascii="宋体" w:hAnsi="宋体"/>
                <w:bCs/>
                <w:color w:val="auto"/>
                <w:sz w:val="18"/>
                <w:szCs w:val="24"/>
                <w:highlight w:val="none"/>
              </w:rPr>
            </w:pPr>
          </w:p>
        </w:tc>
        <w:tc>
          <w:tcPr>
            <w:tcW w:w="1037" w:type="dxa"/>
            <w:noWrap w:val="0"/>
            <w:vAlign w:val="center"/>
          </w:tcPr>
          <w:p w14:paraId="4F44D0C6">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制定机关：</w:t>
            </w:r>
          </w:p>
        </w:tc>
        <w:tc>
          <w:tcPr>
            <w:tcW w:w="1917" w:type="dxa"/>
            <w:noWrap w:val="0"/>
            <w:vAlign w:val="center"/>
          </w:tcPr>
          <w:p w14:paraId="6831CF00">
            <w:pPr>
              <w:spacing w:line="240" w:lineRule="exact"/>
              <w:jc w:val="right"/>
              <w:rPr>
                <w:rFonts w:ascii="Times New Roman" w:hAnsi="Times New Roman"/>
                <w:bCs/>
                <w:color w:val="auto"/>
                <w:sz w:val="18"/>
                <w:szCs w:val="24"/>
                <w:highlight w:val="none"/>
              </w:rPr>
            </w:pPr>
            <w:r>
              <w:rPr>
                <w:rFonts w:hint="eastAsia" w:ascii="Times New Roman" w:hAnsi="Times New Roman"/>
                <w:bCs/>
                <w:color w:val="auto"/>
                <w:sz w:val="18"/>
                <w:highlight w:val="none"/>
                <w:lang w:val="en-US" w:eastAsia="zh-CN"/>
              </w:rPr>
              <w:t>工业和信息化</w:t>
            </w:r>
            <w:r>
              <w:rPr>
                <w:rFonts w:ascii="Times New Roman" w:hAnsi="Times New Roman"/>
                <w:bCs/>
                <w:color w:val="auto"/>
                <w:sz w:val="18"/>
                <w:highlight w:val="none"/>
              </w:rPr>
              <w:t>部</w:t>
            </w:r>
          </w:p>
        </w:tc>
      </w:tr>
      <w:tr w14:paraId="7C30FC3D">
        <w:tblPrEx>
          <w:tblCellMar>
            <w:top w:w="0" w:type="dxa"/>
            <w:left w:w="108" w:type="dxa"/>
            <w:bottom w:w="0" w:type="dxa"/>
            <w:right w:w="108" w:type="dxa"/>
          </w:tblCellMar>
        </w:tblPrEx>
        <w:trPr>
          <w:trHeight w:val="284" w:hRule="atLeast"/>
          <w:jc w:val="center"/>
        </w:trPr>
        <w:tc>
          <w:tcPr>
            <w:tcW w:w="6745" w:type="dxa"/>
            <w:gridSpan w:val="2"/>
            <w:noWrap w:val="0"/>
            <w:vAlign w:val="center"/>
          </w:tcPr>
          <w:p w14:paraId="595DB3DA">
            <w:pPr>
              <w:snapToGrid w:val="0"/>
              <w:spacing w:line="240" w:lineRule="exact"/>
              <w:rPr>
                <w:rFonts w:ascii="宋体" w:hAnsi="宋体"/>
                <w:bCs/>
                <w:color w:val="auto"/>
                <w:sz w:val="18"/>
                <w:szCs w:val="24"/>
                <w:highlight w:val="none"/>
              </w:rPr>
            </w:pPr>
          </w:p>
        </w:tc>
        <w:tc>
          <w:tcPr>
            <w:tcW w:w="1037" w:type="dxa"/>
            <w:noWrap w:val="0"/>
            <w:vAlign w:val="center"/>
          </w:tcPr>
          <w:p w14:paraId="106EA337">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批准机关：</w:t>
            </w:r>
          </w:p>
        </w:tc>
        <w:tc>
          <w:tcPr>
            <w:tcW w:w="1917" w:type="dxa"/>
            <w:noWrap w:val="0"/>
            <w:vAlign w:val="center"/>
          </w:tcPr>
          <w:p w14:paraId="392C1E56">
            <w:pPr>
              <w:spacing w:line="240" w:lineRule="exact"/>
              <w:jc w:val="right"/>
              <w:rPr>
                <w:rFonts w:ascii="Times New Roman" w:hAnsi="Times New Roman"/>
                <w:bCs/>
                <w:color w:val="auto"/>
                <w:sz w:val="18"/>
                <w:szCs w:val="24"/>
                <w:highlight w:val="none"/>
              </w:rPr>
            </w:pPr>
            <w:r>
              <w:rPr>
                <w:rFonts w:ascii="Times New Roman" w:hAnsi="Times New Roman"/>
                <w:bCs/>
                <w:color w:val="auto"/>
                <w:sz w:val="18"/>
                <w:highlight w:val="none"/>
              </w:rPr>
              <w:t>国家统计局</w:t>
            </w:r>
          </w:p>
        </w:tc>
      </w:tr>
      <w:tr w14:paraId="3798FD9F">
        <w:tblPrEx>
          <w:tblCellMar>
            <w:top w:w="0" w:type="dxa"/>
            <w:left w:w="108" w:type="dxa"/>
            <w:bottom w:w="0" w:type="dxa"/>
            <w:right w:w="108" w:type="dxa"/>
          </w:tblCellMar>
        </w:tblPrEx>
        <w:trPr>
          <w:trHeight w:val="284" w:hRule="atLeast"/>
          <w:jc w:val="center"/>
        </w:trPr>
        <w:tc>
          <w:tcPr>
            <w:tcW w:w="6745" w:type="dxa"/>
            <w:gridSpan w:val="2"/>
            <w:noWrap w:val="0"/>
            <w:vAlign w:val="center"/>
          </w:tcPr>
          <w:p w14:paraId="1DF0D8A4">
            <w:pPr>
              <w:snapToGrid w:val="0"/>
              <w:spacing w:line="240" w:lineRule="exact"/>
              <w:rPr>
                <w:rFonts w:ascii="宋体" w:hAnsi="宋体"/>
                <w:bCs/>
                <w:color w:val="auto"/>
                <w:sz w:val="18"/>
                <w:szCs w:val="24"/>
                <w:highlight w:val="none"/>
              </w:rPr>
            </w:pPr>
            <w:r>
              <w:rPr>
                <w:rFonts w:ascii="宋体" w:hAnsi="宋体"/>
                <w:bCs/>
                <w:color w:val="auto"/>
                <w:sz w:val="18"/>
                <w:szCs w:val="24"/>
                <w:highlight w:val="none"/>
              </w:rPr>
              <w:t>统一社会信用代码</w:t>
            </w:r>
            <w:r>
              <w:rPr>
                <w:rFonts w:ascii="宋体" w:hAnsi="宋体"/>
                <w:bCs/>
                <w:color w:val="auto"/>
                <w:sz w:val="18"/>
                <w:szCs w:val="18"/>
                <w:highlight w:val="none"/>
              </w:rPr>
              <w:t>□□□□□□□□□□□□□□□□□□</w:t>
            </w:r>
          </w:p>
        </w:tc>
        <w:tc>
          <w:tcPr>
            <w:tcW w:w="1037" w:type="dxa"/>
            <w:noWrap w:val="0"/>
            <w:vAlign w:val="center"/>
          </w:tcPr>
          <w:p w14:paraId="666B33D1">
            <w:pPr>
              <w:pStyle w:val="139"/>
              <w:tabs>
                <w:tab w:val="left" w:pos="730"/>
              </w:tabs>
              <w:autoSpaceDE/>
              <w:autoSpaceDN/>
              <w:adjustRightInd/>
              <w:spacing w:before="14" w:line="240" w:lineRule="exact"/>
              <w:jc w:val="both"/>
              <w:rPr>
                <w:rFonts w:ascii="Times New Roman" w:hAnsi="Times New Roman"/>
                <w:bCs/>
                <w:color w:val="auto"/>
                <w:sz w:val="18"/>
                <w:szCs w:val="18"/>
                <w:highlight w:val="none"/>
              </w:rPr>
            </w:pPr>
            <w:r>
              <w:rPr>
                <w:rFonts w:ascii="Times New Roman" w:hAnsi="Times New Roman"/>
                <w:bCs/>
                <w:color w:val="auto"/>
                <w:sz w:val="18"/>
                <w:szCs w:val="18"/>
                <w:highlight w:val="none"/>
              </w:rPr>
              <w:t>批准文号：</w:t>
            </w:r>
          </w:p>
        </w:tc>
        <w:tc>
          <w:tcPr>
            <w:tcW w:w="1917" w:type="dxa"/>
            <w:noWrap w:val="0"/>
            <w:vAlign w:val="center"/>
          </w:tcPr>
          <w:p w14:paraId="18C1F4BD">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国统制〔202</w:t>
            </w:r>
            <w:r>
              <w:rPr>
                <w:rFonts w:hint="eastAsia" w:ascii="Times New Roman" w:hAnsi="Times New Roman"/>
                <w:bCs/>
                <w:color w:val="auto"/>
                <w:sz w:val="18"/>
                <w:highlight w:val="none"/>
                <w:lang w:val="en-US" w:eastAsia="zh-CN"/>
              </w:rPr>
              <w:t>4</w:t>
            </w:r>
            <w:r>
              <w:rPr>
                <w:rFonts w:ascii="Times New Roman" w:hAnsi="Times New Roman"/>
                <w:bCs/>
                <w:color w:val="auto"/>
                <w:sz w:val="18"/>
                <w:highlight w:val="none"/>
              </w:rPr>
              <w:t>〕</w:t>
            </w:r>
            <w:r>
              <w:rPr>
                <w:rFonts w:hint="eastAsia" w:ascii="Times New Roman" w:hAnsi="Times New Roman"/>
                <w:bCs/>
                <w:color w:val="auto"/>
                <w:sz w:val="18"/>
                <w:highlight w:val="none"/>
                <w:lang w:val="en-US" w:eastAsia="zh-CN"/>
              </w:rPr>
              <w:t>187</w:t>
            </w:r>
            <w:r>
              <w:rPr>
                <w:rFonts w:ascii="Times New Roman" w:hAnsi="Times New Roman"/>
                <w:bCs/>
                <w:color w:val="auto"/>
                <w:sz w:val="18"/>
                <w:highlight w:val="none"/>
              </w:rPr>
              <w:t>号</w:t>
            </w:r>
          </w:p>
        </w:tc>
      </w:tr>
      <w:tr w14:paraId="76FB78DA">
        <w:tblPrEx>
          <w:tblCellMar>
            <w:top w:w="0" w:type="dxa"/>
            <w:left w:w="108" w:type="dxa"/>
            <w:bottom w:w="0" w:type="dxa"/>
            <w:right w:w="108" w:type="dxa"/>
          </w:tblCellMar>
        </w:tblPrEx>
        <w:trPr>
          <w:trHeight w:val="284" w:hRule="atLeast"/>
          <w:jc w:val="center"/>
        </w:trPr>
        <w:tc>
          <w:tcPr>
            <w:tcW w:w="3283" w:type="dxa"/>
            <w:noWrap w:val="0"/>
            <w:vAlign w:val="center"/>
          </w:tcPr>
          <w:p w14:paraId="724027D1">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企业（单位）详细名称：</w:t>
            </w:r>
          </w:p>
        </w:tc>
        <w:tc>
          <w:tcPr>
            <w:tcW w:w="3462" w:type="dxa"/>
            <w:noWrap w:val="0"/>
            <w:vAlign w:val="center"/>
          </w:tcPr>
          <w:p w14:paraId="32AAE994">
            <w:pPr>
              <w:snapToGrid w:val="0"/>
              <w:spacing w:line="24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２０</w:t>
            </w:r>
            <w:r>
              <w:rPr>
                <w:rFonts w:hint="eastAsia"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rPr>
              <w:t>年</w:t>
            </w:r>
          </w:p>
        </w:tc>
        <w:tc>
          <w:tcPr>
            <w:tcW w:w="1037" w:type="dxa"/>
            <w:noWrap w:val="0"/>
            <w:vAlign w:val="center"/>
          </w:tcPr>
          <w:p w14:paraId="13282DBE">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有效期至：</w:t>
            </w:r>
          </w:p>
        </w:tc>
        <w:tc>
          <w:tcPr>
            <w:tcW w:w="1917" w:type="dxa"/>
            <w:noWrap w:val="0"/>
            <w:vAlign w:val="center"/>
          </w:tcPr>
          <w:p w14:paraId="4757EE8B">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szCs w:val="18"/>
                <w:highlight w:val="none"/>
                <w:lang w:val="en-US" w:eastAsia="zh-CN"/>
              </w:rPr>
              <w:t>2027</w:t>
            </w:r>
            <w:r>
              <w:rPr>
                <w:rFonts w:ascii="Times New Roman" w:hAnsi="Times New Roman"/>
                <w:bCs/>
                <w:color w:val="auto"/>
                <w:sz w:val="18"/>
                <w:highlight w:val="none"/>
              </w:rPr>
              <w:t>年</w:t>
            </w:r>
            <w:r>
              <w:rPr>
                <w:rFonts w:hint="eastAsia" w:ascii="Times New Roman" w:hAnsi="Times New Roman"/>
                <w:bCs/>
                <w:color w:val="auto"/>
                <w:sz w:val="18"/>
                <w:highlight w:val="none"/>
                <w:lang w:val="en-US" w:eastAsia="zh-CN"/>
              </w:rPr>
              <w:t>12</w:t>
            </w:r>
            <w:r>
              <w:rPr>
                <w:rFonts w:ascii="Times New Roman" w:hAnsi="Times New Roman"/>
                <w:bCs/>
                <w:color w:val="auto"/>
                <w:sz w:val="18"/>
                <w:highlight w:val="none"/>
              </w:rPr>
              <w:t>月</w:t>
            </w:r>
          </w:p>
        </w:tc>
      </w:tr>
    </w:tbl>
    <w:p w14:paraId="7F238526">
      <w:pPr>
        <w:rPr>
          <w:rFonts w:ascii="Times New Roman" w:hAnsi="Times New Roman"/>
          <w:bCs/>
          <w:vanish/>
          <w:color w:val="auto"/>
          <w:szCs w:val="24"/>
          <w:highlight w:val="none"/>
        </w:rPr>
      </w:pPr>
    </w:p>
    <w:tbl>
      <w:tblPr>
        <w:tblStyle w:val="34"/>
        <w:tblW w:w="0" w:type="auto"/>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6"/>
        <w:gridCol w:w="678"/>
        <w:gridCol w:w="656"/>
        <w:gridCol w:w="686"/>
        <w:gridCol w:w="704"/>
        <w:gridCol w:w="704"/>
        <w:gridCol w:w="656"/>
        <w:gridCol w:w="687"/>
        <w:gridCol w:w="687"/>
        <w:gridCol w:w="755"/>
        <w:gridCol w:w="701"/>
        <w:gridCol w:w="744"/>
        <w:gridCol w:w="658"/>
        <w:gridCol w:w="656"/>
        <w:gridCol w:w="820"/>
      </w:tblGrid>
      <w:tr w14:paraId="17C0FC0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vMerge w:val="restart"/>
            <w:tcBorders>
              <w:top w:val="single" w:color="auto" w:sz="8" w:space="0"/>
              <w:bottom w:val="single" w:color="auto" w:sz="4" w:space="0"/>
            </w:tcBorders>
            <w:noWrap w:val="0"/>
            <w:vAlign w:val="center"/>
          </w:tcPr>
          <w:p w14:paraId="2E149124">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序号</w:t>
            </w:r>
          </w:p>
        </w:tc>
        <w:tc>
          <w:tcPr>
            <w:tcW w:w="678" w:type="dxa"/>
            <w:vMerge w:val="restart"/>
            <w:tcBorders>
              <w:top w:val="single" w:color="auto" w:sz="8" w:space="0"/>
              <w:bottom w:val="single" w:color="auto" w:sz="4" w:space="0"/>
            </w:tcBorders>
            <w:noWrap w:val="0"/>
            <w:vAlign w:val="center"/>
          </w:tcPr>
          <w:p w14:paraId="3D842629">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项目名称</w:t>
            </w:r>
          </w:p>
        </w:tc>
        <w:tc>
          <w:tcPr>
            <w:tcW w:w="656" w:type="dxa"/>
            <w:vMerge w:val="restart"/>
            <w:tcBorders>
              <w:top w:val="single" w:color="auto" w:sz="8" w:space="0"/>
              <w:bottom w:val="single" w:color="auto" w:sz="4" w:space="0"/>
            </w:tcBorders>
            <w:noWrap w:val="0"/>
            <w:vAlign w:val="center"/>
          </w:tcPr>
          <w:p w14:paraId="1ADAA922">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w:t>
            </w:r>
          </w:p>
          <w:p w14:paraId="22EDCF2C">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来源</w:t>
            </w:r>
          </w:p>
        </w:tc>
        <w:tc>
          <w:tcPr>
            <w:tcW w:w="686" w:type="dxa"/>
            <w:vMerge w:val="restart"/>
            <w:tcBorders>
              <w:top w:val="single" w:color="auto" w:sz="8" w:space="0"/>
              <w:bottom w:val="single" w:color="auto" w:sz="4" w:space="0"/>
            </w:tcBorders>
            <w:noWrap w:val="0"/>
            <w:vAlign w:val="center"/>
          </w:tcPr>
          <w:p w14:paraId="133FE956">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项目开展形式</w:t>
            </w:r>
          </w:p>
        </w:tc>
        <w:tc>
          <w:tcPr>
            <w:tcW w:w="704" w:type="dxa"/>
            <w:vMerge w:val="restart"/>
            <w:tcBorders>
              <w:top w:val="single" w:color="auto" w:sz="8" w:space="0"/>
              <w:bottom w:val="single" w:color="auto" w:sz="4" w:space="0"/>
            </w:tcBorders>
            <w:noWrap w:val="0"/>
            <w:vAlign w:val="center"/>
          </w:tcPr>
          <w:p w14:paraId="26F2ED0B">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项目当年成果形式</w:t>
            </w:r>
          </w:p>
        </w:tc>
        <w:tc>
          <w:tcPr>
            <w:tcW w:w="704" w:type="dxa"/>
            <w:vMerge w:val="restart"/>
            <w:tcBorders>
              <w:top w:val="single" w:color="auto" w:sz="8" w:space="0"/>
              <w:bottom w:val="single" w:color="auto" w:sz="4" w:space="0"/>
            </w:tcBorders>
            <w:noWrap w:val="0"/>
            <w:vAlign w:val="center"/>
          </w:tcPr>
          <w:p w14:paraId="19981887">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项目技术经济目标</w:t>
            </w:r>
          </w:p>
        </w:tc>
        <w:tc>
          <w:tcPr>
            <w:tcW w:w="656" w:type="dxa"/>
            <w:vMerge w:val="restart"/>
            <w:tcBorders>
              <w:top w:val="single" w:color="auto" w:sz="8" w:space="0"/>
              <w:bottom w:val="single" w:color="auto" w:sz="4" w:space="0"/>
            </w:tcBorders>
            <w:noWrap w:val="0"/>
            <w:vAlign w:val="center"/>
          </w:tcPr>
          <w:p w14:paraId="189B4A29">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w:t>
            </w:r>
          </w:p>
          <w:p w14:paraId="5A3F8206">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活动</w:t>
            </w:r>
          </w:p>
          <w:p w14:paraId="1DA627EA">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类型</w:t>
            </w:r>
          </w:p>
        </w:tc>
        <w:tc>
          <w:tcPr>
            <w:tcW w:w="687" w:type="dxa"/>
            <w:vMerge w:val="restart"/>
            <w:tcBorders>
              <w:top w:val="single" w:color="auto" w:sz="8" w:space="0"/>
              <w:bottom w:val="single" w:color="auto" w:sz="4" w:space="0"/>
            </w:tcBorders>
            <w:noWrap w:val="0"/>
            <w:vAlign w:val="center"/>
          </w:tcPr>
          <w:p w14:paraId="1F1B3293">
            <w:pPr>
              <w:widowControl/>
              <w:spacing w:line="280" w:lineRule="exact"/>
              <w:ind w:left="50" w:hanging="50" w:hangingChars="28"/>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项目起始日期</w:t>
            </w:r>
          </w:p>
        </w:tc>
        <w:tc>
          <w:tcPr>
            <w:tcW w:w="687" w:type="dxa"/>
            <w:vMerge w:val="restart"/>
            <w:tcBorders>
              <w:top w:val="single" w:color="auto" w:sz="8" w:space="0"/>
              <w:bottom w:val="single" w:color="auto" w:sz="4" w:space="0"/>
            </w:tcBorders>
            <w:noWrap w:val="0"/>
            <w:vAlign w:val="center"/>
          </w:tcPr>
          <w:p w14:paraId="4702EA20">
            <w:pPr>
              <w:widowControl/>
              <w:spacing w:line="280" w:lineRule="exact"/>
              <w:ind w:left="50" w:hanging="50" w:hangingChars="28"/>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项目完成日期</w:t>
            </w:r>
          </w:p>
        </w:tc>
        <w:tc>
          <w:tcPr>
            <w:tcW w:w="755" w:type="dxa"/>
            <w:vMerge w:val="restart"/>
            <w:tcBorders>
              <w:top w:val="single" w:color="auto" w:sz="8" w:space="0"/>
              <w:bottom w:val="single" w:color="auto" w:sz="4" w:space="0"/>
            </w:tcBorders>
            <w:noWrap w:val="0"/>
            <w:vAlign w:val="center"/>
          </w:tcPr>
          <w:p w14:paraId="181C9C78">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跨年项目当年所处主要进展阶段</w:t>
            </w:r>
          </w:p>
        </w:tc>
        <w:tc>
          <w:tcPr>
            <w:tcW w:w="701" w:type="dxa"/>
            <w:vMerge w:val="restart"/>
            <w:tcBorders>
              <w:top w:val="single" w:color="auto" w:sz="8" w:space="0"/>
              <w:bottom w:val="single" w:color="auto" w:sz="4" w:space="0"/>
            </w:tcBorders>
            <w:noWrap w:val="0"/>
            <w:vAlign w:val="center"/>
          </w:tcPr>
          <w:p w14:paraId="7110B955">
            <w:pPr>
              <w:widowControl/>
              <w:spacing w:line="280" w:lineRule="exact"/>
              <w:jc w:val="center"/>
              <w:rPr>
                <w:rFonts w:ascii="Times New Roman" w:hAnsi="Times New Roman"/>
                <w:bCs/>
                <w:color w:val="auto"/>
                <w:kern w:val="0"/>
                <w:sz w:val="18"/>
                <w:szCs w:val="18"/>
                <w:highlight w:val="none"/>
              </w:rPr>
            </w:pPr>
            <w:r>
              <w:rPr>
                <w:rFonts w:hint="default" w:ascii="Times New Roman" w:hAnsi="Times New Roman" w:eastAsia="宋体" w:cs="Times New Roman"/>
                <w:bCs/>
                <w:color w:val="auto"/>
                <w:kern w:val="0"/>
                <w:sz w:val="18"/>
                <w:szCs w:val="18"/>
                <w:highlight w:val="none"/>
              </w:rPr>
              <w:t>项目研究开发人员</w:t>
            </w:r>
            <w:r>
              <w:rPr>
                <w:rFonts w:ascii="Times New Roman" w:hAnsi="Times New Roman"/>
                <w:bCs/>
                <w:color w:val="auto"/>
                <w:kern w:val="0"/>
                <w:sz w:val="18"/>
                <w:szCs w:val="18"/>
                <w:highlight w:val="none"/>
              </w:rPr>
              <w:t>(人)</w:t>
            </w:r>
          </w:p>
        </w:tc>
        <w:tc>
          <w:tcPr>
            <w:tcW w:w="744" w:type="dxa"/>
            <w:vMerge w:val="restart"/>
            <w:tcBorders>
              <w:top w:val="single" w:color="auto" w:sz="8" w:space="0"/>
              <w:bottom w:val="single" w:color="auto" w:sz="4" w:space="0"/>
            </w:tcBorders>
            <w:noWrap w:val="0"/>
            <w:vAlign w:val="center"/>
          </w:tcPr>
          <w:p w14:paraId="38E40FAE">
            <w:pPr>
              <w:widowControl/>
              <w:spacing w:line="280" w:lineRule="exact"/>
              <w:ind w:left="20" w:hanging="19" w:hangingChars="11"/>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项目人员实际工作时间(人月)</w:t>
            </w:r>
          </w:p>
        </w:tc>
        <w:tc>
          <w:tcPr>
            <w:tcW w:w="658" w:type="dxa"/>
            <w:vMerge w:val="restart"/>
            <w:tcBorders>
              <w:top w:val="single" w:color="auto" w:sz="8" w:space="0"/>
              <w:bottom w:val="single" w:color="auto" w:sz="4" w:space="0"/>
              <w:right w:val="nil"/>
            </w:tcBorders>
            <w:noWrap w:val="0"/>
            <w:vAlign w:val="center"/>
          </w:tcPr>
          <w:p w14:paraId="062862E8">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项目</w:t>
            </w:r>
          </w:p>
          <w:p w14:paraId="1DDFA86E">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经费</w:t>
            </w:r>
          </w:p>
          <w:p w14:paraId="6427D860">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支出</w:t>
            </w:r>
          </w:p>
          <w:p w14:paraId="5E2FBFB9">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(千元)</w:t>
            </w:r>
          </w:p>
        </w:tc>
        <w:tc>
          <w:tcPr>
            <w:tcW w:w="656" w:type="dxa"/>
            <w:tcBorders>
              <w:top w:val="single" w:color="auto" w:sz="8" w:space="0"/>
              <w:left w:val="nil"/>
              <w:bottom w:val="single" w:color="auto" w:sz="4" w:space="0"/>
              <w:right w:val="nil"/>
            </w:tcBorders>
            <w:noWrap w:val="0"/>
            <w:vAlign w:val="center"/>
          </w:tcPr>
          <w:p w14:paraId="460DAE20">
            <w:pPr>
              <w:widowControl/>
              <w:spacing w:line="280" w:lineRule="exact"/>
              <w:jc w:val="center"/>
              <w:rPr>
                <w:rFonts w:ascii="Times New Roman" w:hAnsi="Times New Roman"/>
                <w:bCs/>
                <w:color w:val="auto"/>
                <w:kern w:val="0"/>
                <w:sz w:val="18"/>
                <w:szCs w:val="18"/>
                <w:highlight w:val="none"/>
              </w:rPr>
            </w:pPr>
          </w:p>
        </w:tc>
        <w:tc>
          <w:tcPr>
            <w:tcW w:w="820" w:type="dxa"/>
            <w:tcBorders>
              <w:top w:val="single" w:color="auto" w:sz="8" w:space="0"/>
              <w:left w:val="nil"/>
              <w:bottom w:val="single" w:color="auto" w:sz="4" w:space="0"/>
            </w:tcBorders>
            <w:noWrap w:val="0"/>
            <w:vAlign w:val="center"/>
          </w:tcPr>
          <w:p w14:paraId="5C885244">
            <w:pPr>
              <w:widowControl/>
              <w:spacing w:line="280" w:lineRule="exact"/>
              <w:jc w:val="center"/>
              <w:rPr>
                <w:rFonts w:ascii="Times New Roman" w:hAnsi="Times New Roman"/>
                <w:bCs/>
                <w:color w:val="auto"/>
                <w:kern w:val="0"/>
                <w:sz w:val="18"/>
                <w:szCs w:val="18"/>
                <w:highlight w:val="none"/>
              </w:rPr>
            </w:pPr>
          </w:p>
        </w:tc>
      </w:tr>
      <w:tr w14:paraId="22D92B1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vMerge w:val="continue"/>
            <w:tcBorders>
              <w:top w:val="single" w:color="auto" w:sz="4" w:space="0"/>
              <w:bottom w:val="single" w:color="auto" w:sz="4" w:space="0"/>
            </w:tcBorders>
            <w:noWrap w:val="0"/>
            <w:vAlign w:val="center"/>
          </w:tcPr>
          <w:p w14:paraId="7E4D578A">
            <w:pPr>
              <w:widowControl/>
              <w:spacing w:line="280" w:lineRule="exact"/>
              <w:jc w:val="center"/>
              <w:rPr>
                <w:rFonts w:ascii="Times New Roman" w:hAnsi="Times New Roman"/>
                <w:bCs/>
                <w:color w:val="auto"/>
                <w:kern w:val="0"/>
                <w:sz w:val="18"/>
                <w:szCs w:val="18"/>
                <w:highlight w:val="none"/>
              </w:rPr>
            </w:pPr>
          </w:p>
        </w:tc>
        <w:tc>
          <w:tcPr>
            <w:tcW w:w="678" w:type="dxa"/>
            <w:vMerge w:val="continue"/>
            <w:tcBorders>
              <w:top w:val="single" w:color="auto" w:sz="4" w:space="0"/>
              <w:bottom w:val="single" w:color="auto" w:sz="4" w:space="0"/>
            </w:tcBorders>
            <w:noWrap w:val="0"/>
            <w:vAlign w:val="center"/>
          </w:tcPr>
          <w:p w14:paraId="27F2AFC0">
            <w:pPr>
              <w:widowControl/>
              <w:spacing w:line="280" w:lineRule="exact"/>
              <w:jc w:val="center"/>
              <w:rPr>
                <w:rFonts w:ascii="Times New Roman" w:hAnsi="Times New Roman"/>
                <w:bCs/>
                <w:color w:val="auto"/>
                <w:kern w:val="0"/>
                <w:sz w:val="18"/>
                <w:szCs w:val="18"/>
                <w:highlight w:val="none"/>
              </w:rPr>
            </w:pPr>
          </w:p>
        </w:tc>
        <w:tc>
          <w:tcPr>
            <w:tcW w:w="656" w:type="dxa"/>
            <w:vMerge w:val="continue"/>
            <w:tcBorders>
              <w:top w:val="single" w:color="auto" w:sz="4" w:space="0"/>
              <w:bottom w:val="single" w:color="auto" w:sz="4" w:space="0"/>
            </w:tcBorders>
            <w:noWrap w:val="0"/>
            <w:vAlign w:val="center"/>
          </w:tcPr>
          <w:p w14:paraId="711E5B75">
            <w:pPr>
              <w:widowControl/>
              <w:spacing w:line="280" w:lineRule="exact"/>
              <w:rPr>
                <w:rFonts w:ascii="Times New Roman" w:hAnsi="Times New Roman"/>
                <w:bCs/>
                <w:color w:val="auto"/>
                <w:kern w:val="0"/>
                <w:sz w:val="18"/>
                <w:szCs w:val="18"/>
                <w:highlight w:val="none"/>
              </w:rPr>
            </w:pPr>
          </w:p>
        </w:tc>
        <w:tc>
          <w:tcPr>
            <w:tcW w:w="686" w:type="dxa"/>
            <w:vMerge w:val="continue"/>
            <w:tcBorders>
              <w:top w:val="single" w:color="auto" w:sz="4" w:space="0"/>
              <w:bottom w:val="single" w:color="auto" w:sz="4" w:space="0"/>
            </w:tcBorders>
            <w:noWrap w:val="0"/>
            <w:vAlign w:val="center"/>
          </w:tcPr>
          <w:p w14:paraId="3B22A9A1">
            <w:pPr>
              <w:widowControl/>
              <w:spacing w:line="280" w:lineRule="exact"/>
              <w:jc w:val="center"/>
              <w:rPr>
                <w:rFonts w:ascii="Times New Roman" w:hAnsi="Times New Roman"/>
                <w:bCs/>
                <w:color w:val="auto"/>
                <w:kern w:val="0"/>
                <w:sz w:val="18"/>
                <w:szCs w:val="18"/>
                <w:highlight w:val="none"/>
              </w:rPr>
            </w:pPr>
          </w:p>
        </w:tc>
        <w:tc>
          <w:tcPr>
            <w:tcW w:w="704" w:type="dxa"/>
            <w:vMerge w:val="continue"/>
            <w:tcBorders>
              <w:top w:val="single" w:color="auto" w:sz="4" w:space="0"/>
              <w:bottom w:val="single" w:color="auto" w:sz="4" w:space="0"/>
            </w:tcBorders>
            <w:noWrap w:val="0"/>
            <w:vAlign w:val="center"/>
          </w:tcPr>
          <w:p w14:paraId="6FE9F735">
            <w:pPr>
              <w:widowControl/>
              <w:spacing w:line="280" w:lineRule="exact"/>
              <w:jc w:val="center"/>
              <w:rPr>
                <w:rFonts w:ascii="Times New Roman" w:hAnsi="Times New Roman"/>
                <w:bCs/>
                <w:color w:val="auto"/>
                <w:kern w:val="0"/>
                <w:sz w:val="18"/>
                <w:szCs w:val="18"/>
                <w:highlight w:val="none"/>
              </w:rPr>
            </w:pPr>
          </w:p>
        </w:tc>
        <w:tc>
          <w:tcPr>
            <w:tcW w:w="704" w:type="dxa"/>
            <w:vMerge w:val="continue"/>
            <w:tcBorders>
              <w:top w:val="single" w:color="auto" w:sz="4" w:space="0"/>
              <w:bottom w:val="single" w:color="auto" w:sz="4" w:space="0"/>
            </w:tcBorders>
            <w:noWrap w:val="0"/>
            <w:vAlign w:val="center"/>
          </w:tcPr>
          <w:p w14:paraId="17CDF30B">
            <w:pPr>
              <w:widowControl/>
              <w:spacing w:line="280" w:lineRule="exact"/>
              <w:ind w:firstLine="86" w:firstLineChars="48"/>
              <w:jc w:val="center"/>
              <w:rPr>
                <w:rFonts w:ascii="Times New Roman" w:hAnsi="Times New Roman"/>
                <w:bCs/>
                <w:color w:val="auto"/>
                <w:kern w:val="0"/>
                <w:sz w:val="18"/>
                <w:szCs w:val="18"/>
                <w:highlight w:val="none"/>
              </w:rPr>
            </w:pPr>
          </w:p>
        </w:tc>
        <w:tc>
          <w:tcPr>
            <w:tcW w:w="656" w:type="dxa"/>
            <w:vMerge w:val="continue"/>
            <w:tcBorders>
              <w:top w:val="single" w:color="auto" w:sz="4" w:space="0"/>
              <w:bottom w:val="single" w:color="auto" w:sz="4" w:space="0"/>
            </w:tcBorders>
            <w:noWrap w:val="0"/>
            <w:vAlign w:val="center"/>
          </w:tcPr>
          <w:p w14:paraId="660F967A">
            <w:pPr>
              <w:widowControl/>
              <w:spacing w:line="280" w:lineRule="exact"/>
              <w:jc w:val="center"/>
              <w:rPr>
                <w:rFonts w:ascii="Times New Roman" w:hAnsi="Times New Roman"/>
                <w:bCs/>
                <w:color w:val="auto"/>
                <w:kern w:val="0"/>
                <w:sz w:val="18"/>
                <w:szCs w:val="18"/>
                <w:highlight w:val="none"/>
              </w:rPr>
            </w:pPr>
          </w:p>
        </w:tc>
        <w:tc>
          <w:tcPr>
            <w:tcW w:w="687" w:type="dxa"/>
            <w:vMerge w:val="continue"/>
            <w:tcBorders>
              <w:top w:val="single" w:color="auto" w:sz="4" w:space="0"/>
              <w:bottom w:val="single" w:color="auto" w:sz="4" w:space="0"/>
            </w:tcBorders>
            <w:noWrap w:val="0"/>
            <w:vAlign w:val="center"/>
          </w:tcPr>
          <w:p w14:paraId="35763C98">
            <w:pPr>
              <w:widowControl/>
              <w:spacing w:line="280" w:lineRule="exact"/>
              <w:ind w:left="50" w:hanging="50" w:hangingChars="28"/>
              <w:jc w:val="center"/>
              <w:rPr>
                <w:rFonts w:ascii="Times New Roman" w:hAnsi="Times New Roman"/>
                <w:bCs/>
                <w:color w:val="auto"/>
                <w:kern w:val="0"/>
                <w:sz w:val="18"/>
                <w:szCs w:val="18"/>
                <w:highlight w:val="none"/>
              </w:rPr>
            </w:pPr>
          </w:p>
        </w:tc>
        <w:tc>
          <w:tcPr>
            <w:tcW w:w="687" w:type="dxa"/>
            <w:vMerge w:val="continue"/>
            <w:tcBorders>
              <w:top w:val="single" w:color="auto" w:sz="4" w:space="0"/>
              <w:bottom w:val="single" w:color="auto" w:sz="4" w:space="0"/>
            </w:tcBorders>
            <w:noWrap w:val="0"/>
            <w:vAlign w:val="center"/>
          </w:tcPr>
          <w:p w14:paraId="3F48CD84">
            <w:pPr>
              <w:widowControl/>
              <w:spacing w:line="280" w:lineRule="exact"/>
              <w:ind w:hanging="1"/>
              <w:jc w:val="center"/>
              <w:rPr>
                <w:rFonts w:ascii="Times New Roman" w:hAnsi="Times New Roman"/>
                <w:bCs/>
                <w:color w:val="auto"/>
                <w:kern w:val="0"/>
                <w:sz w:val="18"/>
                <w:szCs w:val="18"/>
                <w:highlight w:val="none"/>
              </w:rPr>
            </w:pPr>
          </w:p>
        </w:tc>
        <w:tc>
          <w:tcPr>
            <w:tcW w:w="755" w:type="dxa"/>
            <w:vMerge w:val="continue"/>
            <w:tcBorders>
              <w:top w:val="single" w:color="auto" w:sz="4" w:space="0"/>
              <w:bottom w:val="single" w:color="auto" w:sz="4" w:space="0"/>
            </w:tcBorders>
            <w:noWrap w:val="0"/>
            <w:vAlign w:val="center"/>
          </w:tcPr>
          <w:p w14:paraId="1B6F4113">
            <w:pPr>
              <w:widowControl/>
              <w:spacing w:line="280" w:lineRule="exact"/>
              <w:jc w:val="center"/>
              <w:rPr>
                <w:rFonts w:ascii="Times New Roman" w:hAnsi="Times New Roman"/>
                <w:bCs/>
                <w:color w:val="auto"/>
                <w:kern w:val="0"/>
                <w:sz w:val="18"/>
                <w:szCs w:val="18"/>
                <w:highlight w:val="none"/>
              </w:rPr>
            </w:pPr>
          </w:p>
        </w:tc>
        <w:tc>
          <w:tcPr>
            <w:tcW w:w="701" w:type="dxa"/>
            <w:vMerge w:val="continue"/>
            <w:tcBorders>
              <w:top w:val="single" w:color="auto" w:sz="4" w:space="0"/>
              <w:bottom w:val="single" w:color="auto" w:sz="4" w:space="0"/>
            </w:tcBorders>
            <w:noWrap w:val="0"/>
            <w:vAlign w:val="center"/>
          </w:tcPr>
          <w:p w14:paraId="3CBA06EC">
            <w:pPr>
              <w:widowControl/>
              <w:spacing w:line="280" w:lineRule="exact"/>
              <w:jc w:val="center"/>
              <w:rPr>
                <w:rFonts w:ascii="Times New Roman" w:hAnsi="Times New Roman"/>
                <w:bCs/>
                <w:color w:val="auto"/>
                <w:kern w:val="0"/>
                <w:sz w:val="18"/>
                <w:szCs w:val="18"/>
                <w:highlight w:val="none"/>
              </w:rPr>
            </w:pPr>
          </w:p>
        </w:tc>
        <w:tc>
          <w:tcPr>
            <w:tcW w:w="744" w:type="dxa"/>
            <w:vMerge w:val="continue"/>
            <w:tcBorders>
              <w:top w:val="single" w:color="auto" w:sz="4" w:space="0"/>
              <w:bottom w:val="single" w:color="auto" w:sz="4" w:space="0"/>
            </w:tcBorders>
            <w:noWrap w:val="0"/>
            <w:vAlign w:val="center"/>
          </w:tcPr>
          <w:p w14:paraId="6EAB1092">
            <w:pPr>
              <w:widowControl/>
              <w:spacing w:line="280" w:lineRule="exact"/>
              <w:ind w:left="20" w:hanging="19" w:hangingChars="11"/>
              <w:jc w:val="center"/>
              <w:rPr>
                <w:rFonts w:ascii="Times New Roman" w:hAnsi="Times New Roman"/>
                <w:bCs/>
                <w:color w:val="auto"/>
                <w:kern w:val="0"/>
                <w:sz w:val="18"/>
                <w:szCs w:val="18"/>
                <w:highlight w:val="none"/>
              </w:rPr>
            </w:pPr>
          </w:p>
        </w:tc>
        <w:tc>
          <w:tcPr>
            <w:tcW w:w="658" w:type="dxa"/>
            <w:vMerge w:val="continue"/>
            <w:tcBorders>
              <w:top w:val="single" w:color="auto" w:sz="4" w:space="0"/>
              <w:bottom w:val="single" w:color="auto" w:sz="4" w:space="0"/>
              <w:right w:val="single" w:color="auto" w:sz="4" w:space="0"/>
            </w:tcBorders>
            <w:noWrap w:val="0"/>
            <w:vAlign w:val="center"/>
          </w:tcPr>
          <w:p w14:paraId="37811B08">
            <w:pPr>
              <w:widowControl/>
              <w:spacing w:line="280" w:lineRule="exact"/>
              <w:jc w:val="center"/>
              <w:rPr>
                <w:rFonts w:ascii="Times New Roman" w:hAnsi="Times New Roman"/>
                <w:bCs/>
                <w:color w:val="auto"/>
                <w:kern w:val="0"/>
                <w:sz w:val="18"/>
                <w:szCs w:val="18"/>
                <w:highlight w:val="none"/>
              </w:rPr>
            </w:pPr>
          </w:p>
        </w:tc>
        <w:tc>
          <w:tcPr>
            <w:tcW w:w="656" w:type="dxa"/>
            <w:vMerge w:val="restart"/>
            <w:tcBorders>
              <w:top w:val="single" w:color="auto" w:sz="4" w:space="0"/>
              <w:left w:val="single" w:color="auto" w:sz="4" w:space="0"/>
              <w:right w:val="nil"/>
            </w:tcBorders>
            <w:noWrap w:val="0"/>
            <w:vAlign w:val="center"/>
          </w:tcPr>
          <w:p w14:paraId="4E9BFB70">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政府</w:t>
            </w:r>
          </w:p>
          <w:p w14:paraId="3E707EE2">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资金</w:t>
            </w:r>
          </w:p>
        </w:tc>
        <w:tc>
          <w:tcPr>
            <w:tcW w:w="820" w:type="dxa"/>
            <w:tcBorders>
              <w:top w:val="single" w:color="auto" w:sz="4" w:space="0"/>
              <w:left w:val="nil"/>
              <w:bottom w:val="single" w:color="auto" w:sz="4" w:space="0"/>
            </w:tcBorders>
            <w:noWrap w:val="0"/>
            <w:vAlign w:val="center"/>
          </w:tcPr>
          <w:p w14:paraId="16454FBA">
            <w:pPr>
              <w:widowControl/>
              <w:spacing w:line="280" w:lineRule="exact"/>
              <w:jc w:val="center"/>
              <w:rPr>
                <w:rFonts w:ascii="Times New Roman" w:hAnsi="Times New Roman"/>
                <w:bCs/>
                <w:color w:val="auto"/>
                <w:kern w:val="0"/>
                <w:sz w:val="18"/>
                <w:szCs w:val="18"/>
                <w:highlight w:val="none"/>
              </w:rPr>
            </w:pPr>
          </w:p>
        </w:tc>
      </w:tr>
      <w:tr w14:paraId="5CE5F72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vMerge w:val="continue"/>
            <w:tcBorders>
              <w:bottom w:val="single" w:color="auto" w:sz="4" w:space="0"/>
            </w:tcBorders>
            <w:noWrap w:val="0"/>
            <w:vAlign w:val="center"/>
          </w:tcPr>
          <w:p w14:paraId="419FB42F">
            <w:pPr>
              <w:widowControl/>
              <w:spacing w:line="280" w:lineRule="exact"/>
              <w:jc w:val="center"/>
              <w:rPr>
                <w:color w:val="auto"/>
                <w:highlight w:val="none"/>
              </w:rPr>
            </w:pPr>
          </w:p>
        </w:tc>
        <w:tc>
          <w:tcPr>
            <w:tcW w:w="678" w:type="dxa"/>
            <w:vMerge w:val="continue"/>
            <w:tcBorders>
              <w:bottom w:val="single" w:color="auto" w:sz="4" w:space="0"/>
            </w:tcBorders>
            <w:noWrap w:val="0"/>
            <w:vAlign w:val="center"/>
          </w:tcPr>
          <w:p w14:paraId="069D9153">
            <w:pPr>
              <w:widowControl/>
              <w:spacing w:line="280" w:lineRule="exact"/>
              <w:jc w:val="center"/>
              <w:rPr>
                <w:color w:val="auto"/>
                <w:highlight w:val="none"/>
              </w:rPr>
            </w:pPr>
          </w:p>
        </w:tc>
        <w:tc>
          <w:tcPr>
            <w:tcW w:w="656" w:type="dxa"/>
            <w:vMerge w:val="continue"/>
            <w:tcBorders>
              <w:bottom w:val="single" w:color="auto" w:sz="4" w:space="0"/>
            </w:tcBorders>
            <w:noWrap w:val="0"/>
            <w:vAlign w:val="center"/>
          </w:tcPr>
          <w:p w14:paraId="3B58BE27">
            <w:pPr>
              <w:widowControl/>
              <w:spacing w:line="280" w:lineRule="exact"/>
              <w:jc w:val="center"/>
              <w:rPr>
                <w:color w:val="auto"/>
                <w:highlight w:val="none"/>
              </w:rPr>
            </w:pPr>
          </w:p>
        </w:tc>
        <w:tc>
          <w:tcPr>
            <w:tcW w:w="686" w:type="dxa"/>
            <w:vMerge w:val="continue"/>
            <w:tcBorders>
              <w:bottom w:val="single" w:color="auto" w:sz="4" w:space="0"/>
            </w:tcBorders>
            <w:noWrap w:val="0"/>
            <w:vAlign w:val="center"/>
          </w:tcPr>
          <w:p w14:paraId="099B6945">
            <w:pPr>
              <w:widowControl/>
              <w:spacing w:line="280" w:lineRule="exact"/>
              <w:jc w:val="center"/>
              <w:rPr>
                <w:color w:val="auto"/>
                <w:highlight w:val="none"/>
              </w:rPr>
            </w:pPr>
          </w:p>
        </w:tc>
        <w:tc>
          <w:tcPr>
            <w:tcW w:w="704" w:type="dxa"/>
            <w:vMerge w:val="continue"/>
            <w:tcBorders>
              <w:bottom w:val="single" w:color="auto" w:sz="4" w:space="0"/>
            </w:tcBorders>
            <w:noWrap w:val="0"/>
            <w:vAlign w:val="center"/>
          </w:tcPr>
          <w:p w14:paraId="4C93618A">
            <w:pPr>
              <w:widowControl/>
              <w:spacing w:line="280" w:lineRule="exact"/>
              <w:jc w:val="center"/>
              <w:rPr>
                <w:color w:val="auto"/>
                <w:highlight w:val="none"/>
              </w:rPr>
            </w:pPr>
          </w:p>
        </w:tc>
        <w:tc>
          <w:tcPr>
            <w:tcW w:w="704" w:type="dxa"/>
            <w:vMerge w:val="continue"/>
            <w:tcBorders>
              <w:bottom w:val="single" w:color="auto" w:sz="4" w:space="0"/>
            </w:tcBorders>
            <w:noWrap w:val="0"/>
            <w:vAlign w:val="center"/>
          </w:tcPr>
          <w:p w14:paraId="7172C144">
            <w:pPr>
              <w:widowControl/>
              <w:spacing w:line="280" w:lineRule="exact"/>
              <w:jc w:val="center"/>
              <w:rPr>
                <w:color w:val="auto"/>
                <w:highlight w:val="none"/>
              </w:rPr>
            </w:pPr>
          </w:p>
        </w:tc>
        <w:tc>
          <w:tcPr>
            <w:tcW w:w="656" w:type="dxa"/>
            <w:vMerge w:val="continue"/>
            <w:tcBorders>
              <w:bottom w:val="single" w:color="auto" w:sz="4" w:space="0"/>
            </w:tcBorders>
            <w:noWrap w:val="0"/>
            <w:vAlign w:val="center"/>
          </w:tcPr>
          <w:p w14:paraId="52C73B0D">
            <w:pPr>
              <w:widowControl/>
              <w:spacing w:line="280" w:lineRule="exact"/>
              <w:jc w:val="center"/>
              <w:rPr>
                <w:color w:val="auto"/>
                <w:highlight w:val="none"/>
              </w:rPr>
            </w:pPr>
          </w:p>
        </w:tc>
        <w:tc>
          <w:tcPr>
            <w:tcW w:w="687" w:type="dxa"/>
            <w:vMerge w:val="continue"/>
            <w:tcBorders>
              <w:bottom w:val="single" w:color="auto" w:sz="4" w:space="0"/>
            </w:tcBorders>
            <w:noWrap w:val="0"/>
            <w:vAlign w:val="center"/>
          </w:tcPr>
          <w:p w14:paraId="53D15A99">
            <w:pPr>
              <w:widowControl/>
              <w:spacing w:line="280" w:lineRule="exact"/>
              <w:jc w:val="center"/>
              <w:rPr>
                <w:color w:val="auto"/>
                <w:highlight w:val="none"/>
              </w:rPr>
            </w:pPr>
          </w:p>
        </w:tc>
        <w:tc>
          <w:tcPr>
            <w:tcW w:w="687" w:type="dxa"/>
            <w:vMerge w:val="continue"/>
            <w:tcBorders>
              <w:bottom w:val="single" w:color="auto" w:sz="4" w:space="0"/>
            </w:tcBorders>
            <w:noWrap w:val="0"/>
            <w:vAlign w:val="center"/>
          </w:tcPr>
          <w:p w14:paraId="141F7BFE">
            <w:pPr>
              <w:widowControl/>
              <w:spacing w:line="280" w:lineRule="exact"/>
              <w:jc w:val="center"/>
              <w:rPr>
                <w:color w:val="auto"/>
                <w:highlight w:val="none"/>
              </w:rPr>
            </w:pPr>
          </w:p>
        </w:tc>
        <w:tc>
          <w:tcPr>
            <w:tcW w:w="755" w:type="dxa"/>
            <w:vMerge w:val="continue"/>
            <w:tcBorders>
              <w:bottom w:val="single" w:color="auto" w:sz="4" w:space="0"/>
            </w:tcBorders>
            <w:noWrap w:val="0"/>
            <w:vAlign w:val="center"/>
          </w:tcPr>
          <w:p w14:paraId="6E5EA074">
            <w:pPr>
              <w:widowControl/>
              <w:spacing w:line="280" w:lineRule="exact"/>
              <w:jc w:val="center"/>
              <w:rPr>
                <w:color w:val="auto"/>
                <w:highlight w:val="none"/>
              </w:rPr>
            </w:pPr>
          </w:p>
        </w:tc>
        <w:tc>
          <w:tcPr>
            <w:tcW w:w="701" w:type="dxa"/>
            <w:vMerge w:val="continue"/>
            <w:tcBorders>
              <w:bottom w:val="single" w:color="auto" w:sz="4" w:space="0"/>
            </w:tcBorders>
            <w:noWrap w:val="0"/>
            <w:vAlign w:val="center"/>
          </w:tcPr>
          <w:p w14:paraId="1EE634C4">
            <w:pPr>
              <w:widowControl/>
              <w:spacing w:line="280" w:lineRule="exact"/>
              <w:jc w:val="center"/>
              <w:rPr>
                <w:color w:val="auto"/>
                <w:highlight w:val="none"/>
              </w:rPr>
            </w:pPr>
          </w:p>
        </w:tc>
        <w:tc>
          <w:tcPr>
            <w:tcW w:w="744" w:type="dxa"/>
            <w:vMerge w:val="continue"/>
            <w:tcBorders>
              <w:bottom w:val="single" w:color="auto" w:sz="4" w:space="0"/>
            </w:tcBorders>
            <w:noWrap w:val="0"/>
            <w:vAlign w:val="center"/>
          </w:tcPr>
          <w:p w14:paraId="2C6375A3">
            <w:pPr>
              <w:widowControl/>
              <w:spacing w:line="280" w:lineRule="exact"/>
              <w:jc w:val="center"/>
              <w:rPr>
                <w:color w:val="auto"/>
                <w:highlight w:val="none"/>
              </w:rPr>
            </w:pPr>
          </w:p>
        </w:tc>
        <w:tc>
          <w:tcPr>
            <w:tcW w:w="658" w:type="dxa"/>
            <w:vMerge w:val="continue"/>
            <w:tcBorders>
              <w:bottom w:val="single" w:color="auto" w:sz="4" w:space="0"/>
              <w:right w:val="single" w:color="auto" w:sz="4" w:space="0"/>
            </w:tcBorders>
            <w:noWrap w:val="0"/>
            <w:vAlign w:val="center"/>
          </w:tcPr>
          <w:p w14:paraId="546EB985">
            <w:pPr>
              <w:widowControl/>
              <w:spacing w:line="280" w:lineRule="exact"/>
              <w:jc w:val="center"/>
              <w:rPr>
                <w:color w:val="auto"/>
                <w:highlight w:val="none"/>
              </w:rPr>
            </w:pPr>
          </w:p>
        </w:tc>
        <w:tc>
          <w:tcPr>
            <w:tcW w:w="656" w:type="dxa"/>
            <w:vMerge w:val="continue"/>
            <w:tcBorders>
              <w:left w:val="single" w:color="auto" w:sz="4" w:space="0"/>
              <w:bottom w:val="single" w:color="auto" w:sz="4" w:space="0"/>
            </w:tcBorders>
            <w:noWrap w:val="0"/>
            <w:vAlign w:val="center"/>
          </w:tcPr>
          <w:p w14:paraId="0D7B1F5E">
            <w:pPr>
              <w:widowControl/>
              <w:spacing w:line="280" w:lineRule="exact"/>
              <w:jc w:val="center"/>
              <w:rPr>
                <w:color w:val="auto"/>
                <w:highlight w:val="none"/>
              </w:rPr>
            </w:pPr>
          </w:p>
        </w:tc>
        <w:tc>
          <w:tcPr>
            <w:tcW w:w="820" w:type="dxa"/>
            <w:tcBorders>
              <w:top w:val="nil"/>
              <w:left w:val="single" w:color="auto" w:sz="4" w:space="0"/>
              <w:bottom w:val="single" w:color="auto" w:sz="4" w:space="0"/>
            </w:tcBorders>
            <w:noWrap w:val="0"/>
            <w:vAlign w:val="center"/>
          </w:tcPr>
          <w:p w14:paraId="701BCC5F">
            <w:pPr>
              <w:widowControl/>
              <w:spacing w:line="280" w:lineRule="exact"/>
              <w:jc w:val="center"/>
              <w:rPr>
                <w:rFonts w:ascii="Times New Roman" w:hAnsi="Times New Roman"/>
                <w:bCs/>
                <w:color w:val="auto"/>
                <w:kern w:val="0"/>
                <w:sz w:val="18"/>
                <w:szCs w:val="18"/>
                <w:highlight w:val="none"/>
              </w:rPr>
            </w:pPr>
            <w:r>
              <w:rPr>
                <w:rFonts w:hint="eastAsia" w:ascii="Times New Roman" w:hAnsi="Times New Roman"/>
                <w:bCs/>
                <w:color w:val="auto"/>
                <w:kern w:val="0"/>
                <w:sz w:val="18"/>
                <w:szCs w:val="18"/>
                <w:highlight w:val="none"/>
              </w:rPr>
              <w:t>国家级科技项目资金</w:t>
            </w:r>
          </w:p>
        </w:tc>
      </w:tr>
      <w:tr w14:paraId="4606238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tcBorders>
              <w:top w:val="single" w:color="auto" w:sz="4" w:space="0"/>
              <w:bottom w:val="single" w:color="auto" w:sz="4" w:space="0"/>
            </w:tcBorders>
            <w:noWrap w:val="0"/>
            <w:vAlign w:val="center"/>
          </w:tcPr>
          <w:p w14:paraId="693321DE">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QH00</w:t>
            </w:r>
          </w:p>
        </w:tc>
        <w:tc>
          <w:tcPr>
            <w:tcW w:w="678" w:type="dxa"/>
            <w:tcBorders>
              <w:top w:val="single" w:color="auto" w:sz="4" w:space="0"/>
              <w:bottom w:val="single" w:color="auto" w:sz="4" w:space="0"/>
            </w:tcBorders>
            <w:noWrap w:val="0"/>
            <w:vAlign w:val="center"/>
          </w:tcPr>
          <w:p w14:paraId="35C5FB4D">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xmmc</w:t>
            </w:r>
          </w:p>
        </w:tc>
        <w:tc>
          <w:tcPr>
            <w:tcW w:w="656" w:type="dxa"/>
            <w:tcBorders>
              <w:top w:val="single" w:color="auto" w:sz="4" w:space="0"/>
              <w:bottom w:val="single" w:color="auto" w:sz="4" w:space="0"/>
            </w:tcBorders>
            <w:noWrap w:val="0"/>
            <w:vAlign w:val="center"/>
          </w:tcPr>
          <w:p w14:paraId="794D9B2F">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QH11</w:t>
            </w:r>
          </w:p>
        </w:tc>
        <w:tc>
          <w:tcPr>
            <w:tcW w:w="686" w:type="dxa"/>
            <w:tcBorders>
              <w:top w:val="single" w:color="auto" w:sz="4" w:space="0"/>
              <w:bottom w:val="single" w:color="auto" w:sz="4" w:space="0"/>
            </w:tcBorders>
            <w:noWrap w:val="0"/>
            <w:vAlign w:val="center"/>
          </w:tcPr>
          <w:p w14:paraId="3DE726A9">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QH31</w:t>
            </w:r>
          </w:p>
        </w:tc>
        <w:tc>
          <w:tcPr>
            <w:tcW w:w="704" w:type="dxa"/>
            <w:tcBorders>
              <w:top w:val="single" w:color="auto" w:sz="4" w:space="0"/>
              <w:bottom w:val="single" w:color="auto" w:sz="4" w:space="0"/>
            </w:tcBorders>
            <w:noWrap w:val="0"/>
            <w:vAlign w:val="center"/>
          </w:tcPr>
          <w:p w14:paraId="3F14FBD6">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QH21</w:t>
            </w:r>
          </w:p>
        </w:tc>
        <w:tc>
          <w:tcPr>
            <w:tcW w:w="704" w:type="dxa"/>
            <w:tcBorders>
              <w:top w:val="single" w:color="auto" w:sz="4" w:space="0"/>
              <w:bottom w:val="single" w:color="auto" w:sz="4" w:space="0"/>
            </w:tcBorders>
            <w:noWrap w:val="0"/>
            <w:vAlign w:val="center"/>
          </w:tcPr>
          <w:p w14:paraId="53F59BBC">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QH32</w:t>
            </w:r>
          </w:p>
        </w:tc>
        <w:tc>
          <w:tcPr>
            <w:tcW w:w="656" w:type="dxa"/>
            <w:tcBorders>
              <w:top w:val="single" w:color="auto" w:sz="4" w:space="0"/>
              <w:bottom w:val="single" w:color="auto" w:sz="4" w:space="0"/>
            </w:tcBorders>
            <w:noWrap w:val="0"/>
            <w:vAlign w:val="center"/>
          </w:tcPr>
          <w:p w14:paraId="6211774E">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QH33</w:t>
            </w:r>
          </w:p>
        </w:tc>
        <w:tc>
          <w:tcPr>
            <w:tcW w:w="687" w:type="dxa"/>
            <w:tcBorders>
              <w:top w:val="single" w:color="auto" w:sz="4" w:space="0"/>
              <w:bottom w:val="single" w:color="auto" w:sz="4" w:space="0"/>
            </w:tcBorders>
            <w:noWrap w:val="0"/>
            <w:vAlign w:val="center"/>
          </w:tcPr>
          <w:p w14:paraId="5A65E0C9">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QH34</w:t>
            </w:r>
          </w:p>
        </w:tc>
        <w:tc>
          <w:tcPr>
            <w:tcW w:w="687" w:type="dxa"/>
            <w:tcBorders>
              <w:top w:val="single" w:color="auto" w:sz="4" w:space="0"/>
              <w:bottom w:val="single" w:color="auto" w:sz="4" w:space="0"/>
            </w:tcBorders>
            <w:noWrap w:val="0"/>
            <w:vAlign w:val="center"/>
          </w:tcPr>
          <w:p w14:paraId="06DE69D5">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QH35</w:t>
            </w:r>
          </w:p>
        </w:tc>
        <w:tc>
          <w:tcPr>
            <w:tcW w:w="755" w:type="dxa"/>
            <w:tcBorders>
              <w:top w:val="single" w:color="auto" w:sz="4" w:space="0"/>
              <w:bottom w:val="single" w:color="auto" w:sz="4" w:space="0"/>
            </w:tcBorders>
            <w:noWrap w:val="0"/>
            <w:vAlign w:val="center"/>
          </w:tcPr>
          <w:p w14:paraId="3A948007">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QH36</w:t>
            </w:r>
          </w:p>
        </w:tc>
        <w:tc>
          <w:tcPr>
            <w:tcW w:w="701" w:type="dxa"/>
            <w:tcBorders>
              <w:top w:val="single" w:color="auto" w:sz="4" w:space="0"/>
              <w:bottom w:val="single" w:color="auto" w:sz="4" w:space="0"/>
            </w:tcBorders>
            <w:noWrap w:val="0"/>
            <w:vAlign w:val="center"/>
          </w:tcPr>
          <w:p w14:paraId="118ECE0A">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QH44</w:t>
            </w:r>
          </w:p>
        </w:tc>
        <w:tc>
          <w:tcPr>
            <w:tcW w:w="744" w:type="dxa"/>
            <w:tcBorders>
              <w:top w:val="single" w:color="auto" w:sz="4" w:space="0"/>
              <w:bottom w:val="single" w:color="auto" w:sz="4" w:space="0"/>
            </w:tcBorders>
            <w:noWrap w:val="0"/>
            <w:vAlign w:val="center"/>
          </w:tcPr>
          <w:p w14:paraId="4CFA6D0B">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QH40</w:t>
            </w:r>
          </w:p>
        </w:tc>
        <w:tc>
          <w:tcPr>
            <w:tcW w:w="658" w:type="dxa"/>
            <w:tcBorders>
              <w:top w:val="single" w:color="auto" w:sz="4" w:space="0"/>
              <w:bottom w:val="single" w:color="auto" w:sz="4" w:space="0"/>
            </w:tcBorders>
            <w:noWrap w:val="0"/>
            <w:vAlign w:val="center"/>
          </w:tcPr>
          <w:p w14:paraId="35E44C76">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QH51</w:t>
            </w:r>
          </w:p>
        </w:tc>
        <w:tc>
          <w:tcPr>
            <w:tcW w:w="656" w:type="dxa"/>
            <w:tcBorders>
              <w:top w:val="single" w:color="auto" w:sz="4" w:space="0"/>
              <w:bottom w:val="single" w:color="auto" w:sz="4" w:space="0"/>
            </w:tcBorders>
            <w:noWrap w:val="0"/>
            <w:vAlign w:val="center"/>
          </w:tcPr>
          <w:p w14:paraId="475BD7B8">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QH52</w:t>
            </w:r>
          </w:p>
        </w:tc>
        <w:tc>
          <w:tcPr>
            <w:tcW w:w="820" w:type="dxa"/>
            <w:tcBorders>
              <w:top w:val="single" w:color="auto" w:sz="4" w:space="0"/>
              <w:bottom w:val="single" w:color="auto" w:sz="4" w:space="0"/>
            </w:tcBorders>
            <w:noWrap w:val="0"/>
            <w:vAlign w:val="center"/>
          </w:tcPr>
          <w:p w14:paraId="305047F9">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QH5</w:t>
            </w:r>
            <w:r>
              <w:rPr>
                <w:rFonts w:hint="eastAsia" w:cs="Calibri"/>
                <w:bCs/>
                <w:color w:val="auto"/>
                <w:kern w:val="0"/>
                <w:sz w:val="18"/>
                <w:szCs w:val="18"/>
                <w:highlight w:val="none"/>
              </w:rPr>
              <w:t>3</w:t>
            </w:r>
          </w:p>
        </w:tc>
      </w:tr>
      <w:tr w14:paraId="3829F0B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tcBorders>
              <w:top w:val="single" w:color="auto" w:sz="4" w:space="0"/>
              <w:bottom w:val="single" w:color="auto" w:sz="4" w:space="0"/>
            </w:tcBorders>
            <w:noWrap w:val="0"/>
            <w:vAlign w:val="top"/>
          </w:tcPr>
          <w:p w14:paraId="212B7194">
            <w:pPr>
              <w:widowControl/>
              <w:spacing w:line="280" w:lineRule="exact"/>
              <w:rPr>
                <w:rFonts w:ascii="Times New Roman" w:hAnsi="Times New Roman"/>
                <w:bCs/>
                <w:color w:val="auto"/>
                <w:kern w:val="0"/>
                <w:szCs w:val="21"/>
                <w:highlight w:val="none"/>
              </w:rPr>
            </w:pPr>
          </w:p>
        </w:tc>
        <w:tc>
          <w:tcPr>
            <w:tcW w:w="678" w:type="dxa"/>
            <w:tcBorders>
              <w:top w:val="single" w:color="auto" w:sz="4" w:space="0"/>
              <w:bottom w:val="single" w:color="auto" w:sz="4" w:space="0"/>
            </w:tcBorders>
            <w:noWrap w:val="0"/>
            <w:vAlign w:val="top"/>
          </w:tcPr>
          <w:p w14:paraId="6986AAC3">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7DE9A65F">
            <w:pPr>
              <w:widowControl/>
              <w:spacing w:line="280" w:lineRule="exact"/>
              <w:rPr>
                <w:rFonts w:ascii="Times New Roman" w:hAnsi="Times New Roman"/>
                <w:bCs/>
                <w:color w:val="auto"/>
                <w:kern w:val="0"/>
                <w:szCs w:val="21"/>
                <w:highlight w:val="none"/>
              </w:rPr>
            </w:pPr>
          </w:p>
        </w:tc>
        <w:tc>
          <w:tcPr>
            <w:tcW w:w="686" w:type="dxa"/>
            <w:tcBorders>
              <w:top w:val="single" w:color="auto" w:sz="4" w:space="0"/>
              <w:bottom w:val="single" w:color="auto" w:sz="4" w:space="0"/>
            </w:tcBorders>
            <w:noWrap w:val="0"/>
            <w:vAlign w:val="top"/>
          </w:tcPr>
          <w:p w14:paraId="47ADB3E6">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4" w:space="0"/>
            </w:tcBorders>
            <w:noWrap w:val="0"/>
            <w:vAlign w:val="top"/>
          </w:tcPr>
          <w:p w14:paraId="1A8FCCAB">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4" w:space="0"/>
            </w:tcBorders>
            <w:noWrap w:val="0"/>
            <w:vAlign w:val="top"/>
          </w:tcPr>
          <w:p w14:paraId="743AAB0D">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09C71511">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4" w:space="0"/>
            </w:tcBorders>
            <w:noWrap w:val="0"/>
            <w:vAlign w:val="top"/>
          </w:tcPr>
          <w:p w14:paraId="1D7F2C70">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4" w:space="0"/>
            </w:tcBorders>
            <w:noWrap w:val="0"/>
            <w:vAlign w:val="top"/>
          </w:tcPr>
          <w:p w14:paraId="2944238E">
            <w:pPr>
              <w:widowControl/>
              <w:spacing w:line="280" w:lineRule="exact"/>
              <w:rPr>
                <w:rFonts w:ascii="Times New Roman" w:hAnsi="Times New Roman"/>
                <w:bCs/>
                <w:color w:val="auto"/>
                <w:kern w:val="0"/>
                <w:szCs w:val="21"/>
                <w:highlight w:val="none"/>
              </w:rPr>
            </w:pPr>
          </w:p>
        </w:tc>
        <w:tc>
          <w:tcPr>
            <w:tcW w:w="755" w:type="dxa"/>
            <w:tcBorders>
              <w:top w:val="single" w:color="auto" w:sz="4" w:space="0"/>
              <w:bottom w:val="single" w:color="auto" w:sz="4" w:space="0"/>
            </w:tcBorders>
            <w:noWrap w:val="0"/>
            <w:vAlign w:val="top"/>
          </w:tcPr>
          <w:p w14:paraId="0B8EA703">
            <w:pPr>
              <w:widowControl/>
              <w:spacing w:line="280" w:lineRule="exact"/>
              <w:rPr>
                <w:rFonts w:ascii="Times New Roman" w:hAnsi="Times New Roman"/>
                <w:bCs/>
                <w:color w:val="auto"/>
                <w:kern w:val="0"/>
                <w:szCs w:val="21"/>
                <w:highlight w:val="none"/>
              </w:rPr>
            </w:pPr>
          </w:p>
        </w:tc>
        <w:tc>
          <w:tcPr>
            <w:tcW w:w="701" w:type="dxa"/>
            <w:tcBorders>
              <w:top w:val="single" w:color="auto" w:sz="4" w:space="0"/>
              <w:bottom w:val="single" w:color="auto" w:sz="4" w:space="0"/>
            </w:tcBorders>
            <w:noWrap w:val="0"/>
            <w:vAlign w:val="top"/>
          </w:tcPr>
          <w:p w14:paraId="24289127">
            <w:pPr>
              <w:widowControl/>
              <w:spacing w:line="280" w:lineRule="exact"/>
              <w:rPr>
                <w:rFonts w:ascii="Times New Roman" w:hAnsi="Times New Roman"/>
                <w:bCs/>
                <w:color w:val="auto"/>
                <w:kern w:val="0"/>
                <w:szCs w:val="21"/>
                <w:highlight w:val="none"/>
              </w:rPr>
            </w:pPr>
          </w:p>
        </w:tc>
        <w:tc>
          <w:tcPr>
            <w:tcW w:w="744" w:type="dxa"/>
            <w:tcBorders>
              <w:top w:val="single" w:color="auto" w:sz="4" w:space="0"/>
              <w:bottom w:val="single" w:color="auto" w:sz="4" w:space="0"/>
            </w:tcBorders>
            <w:noWrap w:val="0"/>
            <w:vAlign w:val="top"/>
          </w:tcPr>
          <w:p w14:paraId="11912BD8">
            <w:pPr>
              <w:widowControl/>
              <w:spacing w:line="280" w:lineRule="exact"/>
              <w:rPr>
                <w:rFonts w:ascii="Times New Roman" w:hAnsi="Times New Roman"/>
                <w:bCs/>
                <w:color w:val="auto"/>
                <w:kern w:val="0"/>
                <w:szCs w:val="21"/>
                <w:highlight w:val="none"/>
              </w:rPr>
            </w:pPr>
          </w:p>
        </w:tc>
        <w:tc>
          <w:tcPr>
            <w:tcW w:w="658" w:type="dxa"/>
            <w:tcBorders>
              <w:top w:val="single" w:color="auto" w:sz="4" w:space="0"/>
              <w:bottom w:val="single" w:color="auto" w:sz="4" w:space="0"/>
            </w:tcBorders>
            <w:noWrap w:val="0"/>
            <w:vAlign w:val="top"/>
          </w:tcPr>
          <w:p w14:paraId="71E8A78A">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3F2EAC44">
            <w:pPr>
              <w:widowControl/>
              <w:spacing w:line="280" w:lineRule="exact"/>
              <w:rPr>
                <w:rFonts w:ascii="Times New Roman" w:hAnsi="Times New Roman"/>
                <w:bCs/>
                <w:color w:val="auto"/>
                <w:kern w:val="0"/>
                <w:szCs w:val="21"/>
                <w:highlight w:val="none"/>
              </w:rPr>
            </w:pPr>
          </w:p>
        </w:tc>
        <w:tc>
          <w:tcPr>
            <w:tcW w:w="820" w:type="dxa"/>
            <w:tcBorders>
              <w:top w:val="single" w:color="auto" w:sz="4" w:space="0"/>
              <w:bottom w:val="single" w:color="auto" w:sz="4" w:space="0"/>
            </w:tcBorders>
            <w:noWrap w:val="0"/>
            <w:vAlign w:val="top"/>
          </w:tcPr>
          <w:p w14:paraId="37E870FE">
            <w:pPr>
              <w:widowControl/>
              <w:spacing w:line="280" w:lineRule="exact"/>
              <w:rPr>
                <w:rFonts w:ascii="Times New Roman" w:hAnsi="Times New Roman"/>
                <w:bCs/>
                <w:color w:val="auto"/>
                <w:kern w:val="0"/>
                <w:szCs w:val="21"/>
                <w:highlight w:val="none"/>
              </w:rPr>
            </w:pPr>
          </w:p>
        </w:tc>
      </w:tr>
      <w:tr w14:paraId="686EE6A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tcBorders>
              <w:top w:val="single" w:color="auto" w:sz="4" w:space="0"/>
              <w:bottom w:val="single" w:color="auto" w:sz="4" w:space="0"/>
            </w:tcBorders>
            <w:noWrap w:val="0"/>
            <w:vAlign w:val="top"/>
          </w:tcPr>
          <w:p w14:paraId="46863FFA">
            <w:pPr>
              <w:widowControl/>
              <w:spacing w:line="280" w:lineRule="exact"/>
              <w:rPr>
                <w:rFonts w:ascii="Times New Roman" w:hAnsi="Times New Roman"/>
                <w:bCs/>
                <w:color w:val="auto"/>
                <w:kern w:val="0"/>
                <w:szCs w:val="21"/>
                <w:highlight w:val="none"/>
              </w:rPr>
            </w:pPr>
          </w:p>
        </w:tc>
        <w:tc>
          <w:tcPr>
            <w:tcW w:w="678" w:type="dxa"/>
            <w:tcBorders>
              <w:top w:val="single" w:color="auto" w:sz="4" w:space="0"/>
              <w:bottom w:val="single" w:color="auto" w:sz="4" w:space="0"/>
            </w:tcBorders>
            <w:noWrap w:val="0"/>
            <w:vAlign w:val="top"/>
          </w:tcPr>
          <w:p w14:paraId="02DC8DC4">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416A8260">
            <w:pPr>
              <w:widowControl/>
              <w:spacing w:line="280" w:lineRule="exact"/>
              <w:rPr>
                <w:rFonts w:ascii="Times New Roman" w:hAnsi="Times New Roman"/>
                <w:bCs/>
                <w:color w:val="auto"/>
                <w:kern w:val="0"/>
                <w:szCs w:val="21"/>
                <w:highlight w:val="none"/>
              </w:rPr>
            </w:pPr>
          </w:p>
        </w:tc>
        <w:tc>
          <w:tcPr>
            <w:tcW w:w="686" w:type="dxa"/>
            <w:tcBorders>
              <w:top w:val="single" w:color="auto" w:sz="4" w:space="0"/>
              <w:bottom w:val="single" w:color="auto" w:sz="4" w:space="0"/>
            </w:tcBorders>
            <w:noWrap w:val="0"/>
            <w:vAlign w:val="top"/>
          </w:tcPr>
          <w:p w14:paraId="223FAB26">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4" w:space="0"/>
            </w:tcBorders>
            <w:noWrap w:val="0"/>
            <w:vAlign w:val="top"/>
          </w:tcPr>
          <w:p w14:paraId="359553BA">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4" w:space="0"/>
            </w:tcBorders>
            <w:noWrap w:val="0"/>
            <w:vAlign w:val="top"/>
          </w:tcPr>
          <w:p w14:paraId="5609CCFC">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7BCF9D81">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4" w:space="0"/>
            </w:tcBorders>
            <w:noWrap w:val="0"/>
            <w:vAlign w:val="top"/>
          </w:tcPr>
          <w:p w14:paraId="45403E94">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4" w:space="0"/>
            </w:tcBorders>
            <w:noWrap w:val="0"/>
            <w:vAlign w:val="top"/>
          </w:tcPr>
          <w:p w14:paraId="20C795B3">
            <w:pPr>
              <w:widowControl/>
              <w:spacing w:line="280" w:lineRule="exact"/>
              <w:rPr>
                <w:rFonts w:ascii="Times New Roman" w:hAnsi="Times New Roman"/>
                <w:bCs/>
                <w:color w:val="auto"/>
                <w:kern w:val="0"/>
                <w:szCs w:val="21"/>
                <w:highlight w:val="none"/>
              </w:rPr>
            </w:pPr>
          </w:p>
        </w:tc>
        <w:tc>
          <w:tcPr>
            <w:tcW w:w="755" w:type="dxa"/>
            <w:tcBorders>
              <w:top w:val="single" w:color="auto" w:sz="4" w:space="0"/>
              <w:bottom w:val="single" w:color="auto" w:sz="4" w:space="0"/>
            </w:tcBorders>
            <w:noWrap w:val="0"/>
            <w:vAlign w:val="top"/>
          </w:tcPr>
          <w:p w14:paraId="7F57D6B0">
            <w:pPr>
              <w:widowControl/>
              <w:spacing w:line="280" w:lineRule="exact"/>
              <w:rPr>
                <w:rFonts w:ascii="Times New Roman" w:hAnsi="Times New Roman"/>
                <w:bCs/>
                <w:color w:val="auto"/>
                <w:kern w:val="0"/>
                <w:szCs w:val="21"/>
                <w:highlight w:val="none"/>
              </w:rPr>
            </w:pPr>
          </w:p>
        </w:tc>
        <w:tc>
          <w:tcPr>
            <w:tcW w:w="701" w:type="dxa"/>
            <w:tcBorders>
              <w:top w:val="single" w:color="auto" w:sz="4" w:space="0"/>
              <w:bottom w:val="single" w:color="auto" w:sz="4" w:space="0"/>
            </w:tcBorders>
            <w:noWrap w:val="0"/>
            <w:vAlign w:val="top"/>
          </w:tcPr>
          <w:p w14:paraId="526BD255">
            <w:pPr>
              <w:widowControl/>
              <w:spacing w:line="280" w:lineRule="exact"/>
              <w:rPr>
                <w:rFonts w:ascii="Times New Roman" w:hAnsi="Times New Roman"/>
                <w:bCs/>
                <w:color w:val="auto"/>
                <w:kern w:val="0"/>
                <w:szCs w:val="21"/>
                <w:highlight w:val="none"/>
              </w:rPr>
            </w:pPr>
          </w:p>
        </w:tc>
        <w:tc>
          <w:tcPr>
            <w:tcW w:w="744" w:type="dxa"/>
            <w:tcBorders>
              <w:top w:val="single" w:color="auto" w:sz="4" w:space="0"/>
              <w:bottom w:val="single" w:color="auto" w:sz="4" w:space="0"/>
            </w:tcBorders>
            <w:noWrap w:val="0"/>
            <w:vAlign w:val="top"/>
          </w:tcPr>
          <w:p w14:paraId="1BB4104E">
            <w:pPr>
              <w:widowControl/>
              <w:spacing w:line="280" w:lineRule="exact"/>
              <w:rPr>
                <w:rFonts w:ascii="Times New Roman" w:hAnsi="Times New Roman"/>
                <w:bCs/>
                <w:color w:val="auto"/>
                <w:kern w:val="0"/>
                <w:szCs w:val="21"/>
                <w:highlight w:val="none"/>
              </w:rPr>
            </w:pPr>
          </w:p>
        </w:tc>
        <w:tc>
          <w:tcPr>
            <w:tcW w:w="658" w:type="dxa"/>
            <w:tcBorders>
              <w:top w:val="single" w:color="auto" w:sz="4" w:space="0"/>
              <w:bottom w:val="single" w:color="auto" w:sz="4" w:space="0"/>
            </w:tcBorders>
            <w:noWrap w:val="0"/>
            <w:vAlign w:val="top"/>
          </w:tcPr>
          <w:p w14:paraId="72FFBE2E">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68DA430E">
            <w:pPr>
              <w:widowControl/>
              <w:spacing w:line="280" w:lineRule="exact"/>
              <w:rPr>
                <w:rFonts w:ascii="Times New Roman" w:hAnsi="Times New Roman"/>
                <w:bCs/>
                <w:color w:val="auto"/>
                <w:kern w:val="0"/>
                <w:szCs w:val="21"/>
                <w:highlight w:val="none"/>
              </w:rPr>
            </w:pPr>
          </w:p>
        </w:tc>
        <w:tc>
          <w:tcPr>
            <w:tcW w:w="820" w:type="dxa"/>
            <w:tcBorders>
              <w:top w:val="single" w:color="auto" w:sz="4" w:space="0"/>
              <w:bottom w:val="single" w:color="auto" w:sz="4" w:space="0"/>
            </w:tcBorders>
            <w:noWrap w:val="0"/>
            <w:vAlign w:val="top"/>
          </w:tcPr>
          <w:p w14:paraId="7F2EE9B7">
            <w:pPr>
              <w:widowControl/>
              <w:spacing w:line="280" w:lineRule="exact"/>
              <w:rPr>
                <w:rFonts w:ascii="Times New Roman" w:hAnsi="Times New Roman"/>
                <w:bCs/>
                <w:color w:val="auto"/>
                <w:kern w:val="0"/>
                <w:szCs w:val="21"/>
                <w:highlight w:val="none"/>
              </w:rPr>
            </w:pPr>
          </w:p>
        </w:tc>
      </w:tr>
      <w:tr w14:paraId="3C9E413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tcBorders>
              <w:top w:val="single" w:color="auto" w:sz="4" w:space="0"/>
              <w:bottom w:val="single" w:color="auto" w:sz="4" w:space="0"/>
            </w:tcBorders>
            <w:noWrap w:val="0"/>
            <w:vAlign w:val="top"/>
          </w:tcPr>
          <w:p w14:paraId="09C520FB">
            <w:pPr>
              <w:widowControl/>
              <w:spacing w:line="280" w:lineRule="exact"/>
              <w:rPr>
                <w:rFonts w:ascii="Times New Roman" w:hAnsi="Times New Roman"/>
                <w:bCs/>
                <w:color w:val="auto"/>
                <w:kern w:val="0"/>
                <w:szCs w:val="21"/>
                <w:highlight w:val="none"/>
              </w:rPr>
            </w:pPr>
          </w:p>
        </w:tc>
        <w:tc>
          <w:tcPr>
            <w:tcW w:w="678" w:type="dxa"/>
            <w:tcBorders>
              <w:top w:val="single" w:color="auto" w:sz="4" w:space="0"/>
              <w:bottom w:val="single" w:color="auto" w:sz="4" w:space="0"/>
            </w:tcBorders>
            <w:noWrap w:val="0"/>
            <w:vAlign w:val="top"/>
          </w:tcPr>
          <w:p w14:paraId="52C68E70">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1E70F9C4">
            <w:pPr>
              <w:widowControl/>
              <w:spacing w:line="280" w:lineRule="exact"/>
              <w:rPr>
                <w:rFonts w:ascii="Times New Roman" w:hAnsi="Times New Roman"/>
                <w:bCs/>
                <w:color w:val="auto"/>
                <w:kern w:val="0"/>
                <w:szCs w:val="21"/>
                <w:highlight w:val="none"/>
              </w:rPr>
            </w:pPr>
          </w:p>
        </w:tc>
        <w:tc>
          <w:tcPr>
            <w:tcW w:w="686" w:type="dxa"/>
            <w:tcBorders>
              <w:top w:val="single" w:color="auto" w:sz="4" w:space="0"/>
              <w:bottom w:val="single" w:color="auto" w:sz="4" w:space="0"/>
            </w:tcBorders>
            <w:noWrap w:val="0"/>
            <w:vAlign w:val="top"/>
          </w:tcPr>
          <w:p w14:paraId="68053CE3">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4" w:space="0"/>
            </w:tcBorders>
            <w:noWrap w:val="0"/>
            <w:vAlign w:val="top"/>
          </w:tcPr>
          <w:p w14:paraId="1E2AE0BF">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4" w:space="0"/>
            </w:tcBorders>
            <w:noWrap w:val="0"/>
            <w:vAlign w:val="top"/>
          </w:tcPr>
          <w:p w14:paraId="5DB6EB6C">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73CC8D65">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4" w:space="0"/>
            </w:tcBorders>
            <w:noWrap w:val="0"/>
            <w:vAlign w:val="top"/>
          </w:tcPr>
          <w:p w14:paraId="210794A7">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4" w:space="0"/>
            </w:tcBorders>
            <w:noWrap w:val="0"/>
            <w:vAlign w:val="top"/>
          </w:tcPr>
          <w:p w14:paraId="570F83DC">
            <w:pPr>
              <w:widowControl/>
              <w:spacing w:line="280" w:lineRule="exact"/>
              <w:rPr>
                <w:rFonts w:ascii="Times New Roman" w:hAnsi="Times New Roman"/>
                <w:bCs/>
                <w:color w:val="auto"/>
                <w:kern w:val="0"/>
                <w:szCs w:val="21"/>
                <w:highlight w:val="none"/>
              </w:rPr>
            </w:pPr>
          </w:p>
        </w:tc>
        <w:tc>
          <w:tcPr>
            <w:tcW w:w="755" w:type="dxa"/>
            <w:tcBorders>
              <w:top w:val="single" w:color="auto" w:sz="4" w:space="0"/>
              <w:bottom w:val="single" w:color="auto" w:sz="4" w:space="0"/>
            </w:tcBorders>
            <w:noWrap w:val="0"/>
            <w:vAlign w:val="top"/>
          </w:tcPr>
          <w:p w14:paraId="40AEBB81">
            <w:pPr>
              <w:widowControl/>
              <w:spacing w:line="280" w:lineRule="exact"/>
              <w:rPr>
                <w:rFonts w:ascii="Times New Roman" w:hAnsi="Times New Roman"/>
                <w:bCs/>
                <w:color w:val="auto"/>
                <w:kern w:val="0"/>
                <w:szCs w:val="21"/>
                <w:highlight w:val="none"/>
              </w:rPr>
            </w:pPr>
          </w:p>
        </w:tc>
        <w:tc>
          <w:tcPr>
            <w:tcW w:w="701" w:type="dxa"/>
            <w:tcBorders>
              <w:top w:val="single" w:color="auto" w:sz="4" w:space="0"/>
              <w:bottom w:val="single" w:color="auto" w:sz="4" w:space="0"/>
            </w:tcBorders>
            <w:noWrap w:val="0"/>
            <w:vAlign w:val="top"/>
          </w:tcPr>
          <w:p w14:paraId="0F40D89D">
            <w:pPr>
              <w:widowControl/>
              <w:spacing w:line="280" w:lineRule="exact"/>
              <w:rPr>
                <w:rFonts w:ascii="Times New Roman" w:hAnsi="Times New Roman"/>
                <w:bCs/>
                <w:color w:val="auto"/>
                <w:kern w:val="0"/>
                <w:szCs w:val="21"/>
                <w:highlight w:val="none"/>
              </w:rPr>
            </w:pPr>
          </w:p>
        </w:tc>
        <w:tc>
          <w:tcPr>
            <w:tcW w:w="744" w:type="dxa"/>
            <w:tcBorders>
              <w:top w:val="single" w:color="auto" w:sz="4" w:space="0"/>
              <w:bottom w:val="single" w:color="auto" w:sz="4" w:space="0"/>
            </w:tcBorders>
            <w:noWrap w:val="0"/>
            <w:vAlign w:val="top"/>
          </w:tcPr>
          <w:p w14:paraId="2F53EEEE">
            <w:pPr>
              <w:widowControl/>
              <w:spacing w:line="280" w:lineRule="exact"/>
              <w:rPr>
                <w:rFonts w:ascii="Times New Roman" w:hAnsi="Times New Roman"/>
                <w:bCs/>
                <w:color w:val="auto"/>
                <w:kern w:val="0"/>
                <w:szCs w:val="21"/>
                <w:highlight w:val="none"/>
              </w:rPr>
            </w:pPr>
          </w:p>
        </w:tc>
        <w:tc>
          <w:tcPr>
            <w:tcW w:w="658" w:type="dxa"/>
            <w:tcBorders>
              <w:top w:val="single" w:color="auto" w:sz="4" w:space="0"/>
              <w:bottom w:val="single" w:color="auto" w:sz="4" w:space="0"/>
            </w:tcBorders>
            <w:noWrap w:val="0"/>
            <w:vAlign w:val="top"/>
          </w:tcPr>
          <w:p w14:paraId="244A34EA">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0F02867B">
            <w:pPr>
              <w:widowControl/>
              <w:spacing w:line="280" w:lineRule="exact"/>
              <w:rPr>
                <w:rFonts w:ascii="Times New Roman" w:hAnsi="Times New Roman"/>
                <w:bCs/>
                <w:color w:val="auto"/>
                <w:kern w:val="0"/>
                <w:szCs w:val="21"/>
                <w:highlight w:val="none"/>
              </w:rPr>
            </w:pPr>
          </w:p>
        </w:tc>
        <w:tc>
          <w:tcPr>
            <w:tcW w:w="820" w:type="dxa"/>
            <w:tcBorders>
              <w:top w:val="single" w:color="auto" w:sz="4" w:space="0"/>
              <w:bottom w:val="single" w:color="auto" w:sz="4" w:space="0"/>
            </w:tcBorders>
            <w:noWrap w:val="0"/>
            <w:vAlign w:val="top"/>
          </w:tcPr>
          <w:p w14:paraId="3BB86C3C">
            <w:pPr>
              <w:widowControl/>
              <w:spacing w:line="280" w:lineRule="exact"/>
              <w:rPr>
                <w:rFonts w:ascii="Times New Roman" w:hAnsi="Times New Roman"/>
                <w:bCs/>
                <w:color w:val="auto"/>
                <w:kern w:val="0"/>
                <w:szCs w:val="21"/>
                <w:highlight w:val="none"/>
              </w:rPr>
            </w:pPr>
          </w:p>
        </w:tc>
      </w:tr>
      <w:tr w14:paraId="21BA0E3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tcBorders>
              <w:top w:val="single" w:color="auto" w:sz="4" w:space="0"/>
              <w:bottom w:val="single" w:color="auto" w:sz="4" w:space="0"/>
            </w:tcBorders>
            <w:noWrap w:val="0"/>
            <w:vAlign w:val="top"/>
          </w:tcPr>
          <w:p w14:paraId="5DB7BE85">
            <w:pPr>
              <w:widowControl/>
              <w:spacing w:line="280" w:lineRule="exact"/>
              <w:rPr>
                <w:rFonts w:ascii="Times New Roman" w:hAnsi="Times New Roman"/>
                <w:bCs/>
                <w:color w:val="auto"/>
                <w:kern w:val="0"/>
                <w:szCs w:val="21"/>
                <w:highlight w:val="none"/>
              </w:rPr>
            </w:pPr>
          </w:p>
        </w:tc>
        <w:tc>
          <w:tcPr>
            <w:tcW w:w="678" w:type="dxa"/>
            <w:tcBorders>
              <w:top w:val="single" w:color="auto" w:sz="4" w:space="0"/>
              <w:bottom w:val="single" w:color="auto" w:sz="4" w:space="0"/>
            </w:tcBorders>
            <w:noWrap w:val="0"/>
            <w:vAlign w:val="top"/>
          </w:tcPr>
          <w:p w14:paraId="553AE67C">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28FD4693">
            <w:pPr>
              <w:widowControl/>
              <w:spacing w:line="280" w:lineRule="exact"/>
              <w:rPr>
                <w:rFonts w:ascii="Times New Roman" w:hAnsi="Times New Roman"/>
                <w:bCs/>
                <w:color w:val="auto"/>
                <w:kern w:val="0"/>
                <w:szCs w:val="21"/>
                <w:highlight w:val="none"/>
              </w:rPr>
            </w:pPr>
          </w:p>
        </w:tc>
        <w:tc>
          <w:tcPr>
            <w:tcW w:w="686" w:type="dxa"/>
            <w:tcBorders>
              <w:top w:val="single" w:color="auto" w:sz="4" w:space="0"/>
              <w:bottom w:val="single" w:color="auto" w:sz="4" w:space="0"/>
            </w:tcBorders>
            <w:noWrap w:val="0"/>
            <w:vAlign w:val="top"/>
          </w:tcPr>
          <w:p w14:paraId="19D23637">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4" w:space="0"/>
            </w:tcBorders>
            <w:noWrap w:val="0"/>
            <w:vAlign w:val="top"/>
          </w:tcPr>
          <w:p w14:paraId="39F4DAA7">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4" w:space="0"/>
            </w:tcBorders>
            <w:noWrap w:val="0"/>
            <w:vAlign w:val="top"/>
          </w:tcPr>
          <w:p w14:paraId="4C72D4F6">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348381E2">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4" w:space="0"/>
            </w:tcBorders>
            <w:noWrap w:val="0"/>
            <w:vAlign w:val="top"/>
          </w:tcPr>
          <w:p w14:paraId="270866BA">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4" w:space="0"/>
            </w:tcBorders>
            <w:noWrap w:val="0"/>
            <w:vAlign w:val="top"/>
          </w:tcPr>
          <w:p w14:paraId="084DF91C">
            <w:pPr>
              <w:widowControl/>
              <w:spacing w:line="280" w:lineRule="exact"/>
              <w:rPr>
                <w:rFonts w:ascii="Times New Roman" w:hAnsi="Times New Roman"/>
                <w:bCs/>
                <w:color w:val="auto"/>
                <w:kern w:val="0"/>
                <w:szCs w:val="21"/>
                <w:highlight w:val="none"/>
              </w:rPr>
            </w:pPr>
          </w:p>
        </w:tc>
        <w:tc>
          <w:tcPr>
            <w:tcW w:w="755" w:type="dxa"/>
            <w:tcBorders>
              <w:top w:val="single" w:color="auto" w:sz="4" w:space="0"/>
              <w:bottom w:val="single" w:color="auto" w:sz="4" w:space="0"/>
            </w:tcBorders>
            <w:noWrap w:val="0"/>
            <w:vAlign w:val="top"/>
          </w:tcPr>
          <w:p w14:paraId="637D0EC6">
            <w:pPr>
              <w:widowControl/>
              <w:spacing w:line="280" w:lineRule="exact"/>
              <w:rPr>
                <w:rFonts w:ascii="Times New Roman" w:hAnsi="Times New Roman"/>
                <w:bCs/>
                <w:color w:val="auto"/>
                <w:kern w:val="0"/>
                <w:szCs w:val="21"/>
                <w:highlight w:val="none"/>
              </w:rPr>
            </w:pPr>
          </w:p>
        </w:tc>
        <w:tc>
          <w:tcPr>
            <w:tcW w:w="701" w:type="dxa"/>
            <w:tcBorders>
              <w:top w:val="single" w:color="auto" w:sz="4" w:space="0"/>
              <w:bottom w:val="single" w:color="auto" w:sz="4" w:space="0"/>
            </w:tcBorders>
            <w:noWrap w:val="0"/>
            <w:vAlign w:val="top"/>
          </w:tcPr>
          <w:p w14:paraId="4A2133B3">
            <w:pPr>
              <w:widowControl/>
              <w:spacing w:line="280" w:lineRule="exact"/>
              <w:rPr>
                <w:rFonts w:ascii="Times New Roman" w:hAnsi="Times New Roman"/>
                <w:bCs/>
                <w:color w:val="auto"/>
                <w:kern w:val="0"/>
                <w:szCs w:val="21"/>
                <w:highlight w:val="none"/>
              </w:rPr>
            </w:pPr>
          </w:p>
        </w:tc>
        <w:tc>
          <w:tcPr>
            <w:tcW w:w="744" w:type="dxa"/>
            <w:tcBorders>
              <w:top w:val="single" w:color="auto" w:sz="4" w:space="0"/>
              <w:bottom w:val="single" w:color="auto" w:sz="4" w:space="0"/>
            </w:tcBorders>
            <w:noWrap w:val="0"/>
            <w:vAlign w:val="top"/>
          </w:tcPr>
          <w:p w14:paraId="189BF69C">
            <w:pPr>
              <w:widowControl/>
              <w:spacing w:line="280" w:lineRule="exact"/>
              <w:rPr>
                <w:rFonts w:ascii="Times New Roman" w:hAnsi="Times New Roman"/>
                <w:bCs/>
                <w:color w:val="auto"/>
                <w:kern w:val="0"/>
                <w:szCs w:val="21"/>
                <w:highlight w:val="none"/>
              </w:rPr>
            </w:pPr>
          </w:p>
        </w:tc>
        <w:tc>
          <w:tcPr>
            <w:tcW w:w="658" w:type="dxa"/>
            <w:tcBorders>
              <w:top w:val="single" w:color="auto" w:sz="4" w:space="0"/>
              <w:bottom w:val="single" w:color="auto" w:sz="4" w:space="0"/>
            </w:tcBorders>
            <w:noWrap w:val="0"/>
            <w:vAlign w:val="top"/>
          </w:tcPr>
          <w:p w14:paraId="61EA856D">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4" w:space="0"/>
            </w:tcBorders>
            <w:noWrap w:val="0"/>
            <w:vAlign w:val="top"/>
          </w:tcPr>
          <w:p w14:paraId="2777C0C9">
            <w:pPr>
              <w:widowControl/>
              <w:spacing w:line="280" w:lineRule="exact"/>
              <w:rPr>
                <w:rFonts w:ascii="Times New Roman" w:hAnsi="Times New Roman"/>
                <w:bCs/>
                <w:color w:val="auto"/>
                <w:kern w:val="0"/>
                <w:szCs w:val="21"/>
                <w:highlight w:val="none"/>
              </w:rPr>
            </w:pPr>
          </w:p>
        </w:tc>
        <w:tc>
          <w:tcPr>
            <w:tcW w:w="820" w:type="dxa"/>
            <w:tcBorders>
              <w:top w:val="single" w:color="auto" w:sz="4" w:space="0"/>
              <w:bottom w:val="single" w:color="auto" w:sz="4" w:space="0"/>
            </w:tcBorders>
            <w:noWrap w:val="0"/>
            <w:vAlign w:val="top"/>
          </w:tcPr>
          <w:p w14:paraId="0CA457E3">
            <w:pPr>
              <w:widowControl/>
              <w:spacing w:line="280" w:lineRule="exact"/>
              <w:rPr>
                <w:rFonts w:ascii="Times New Roman" w:hAnsi="Times New Roman"/>
                <w:bCs/>
                <w:color w:val="auto"/>
                <w:kern w:val="0"/>
                <w:szCs w:val="21"/>
                <w:highlight w:val="none"/>
              </w:rPr>
            </w:pPr>
          </w:p>
        </w:tc>
      </w:tr>
      <w:tr w14:paraId="7D16E46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6" w:type="dxa"/>
            <w:tcBorders>
              <w:top w:val="single" w:color="auto" w:sz="4" w:space="0"/>
              <w:bottom w:val="single" w:color="auto" w:sz="8" w:space="0"/>
            </w:tcBorders>
            <w:noWrap w:val="0"/>
            <w:vAlign w:val="top"/>
          </w:tcPr>
          <w:p w14:paraId="315DB58D">
            <w:pPr>
              <w:widowControl/>
              <w:spacing w:line="280" w:lineRule="exact"/>
              <w:rPr>
                <w:rFonts w:ascii="Times New Roman" w:hAnsi="Times New Roman"/>
                <w:bCs/>
                <w:color w:val="auto"/>
                <w:kern w:val="0"/>
                <w:szCs w:val="21"/>
                <w:highlight w:val="none"/>
              </w:rPr>
            </w:pPr>
          </w:p>
        </w:tc>
        <w:tc>
          <w:tcPr>
            <w:tcW w:w="678" w:type="dxa"/>
            <w:tcBorders>
              <w:top w:val="single" w:color="auto" w:sz="4" w:space="0"/>
              <w:bottom w:val="single" w:color="auto" w:sz="8" w:space="0"/>
            </w:tcBorders>
            <w:noWrap w:val="0"/>
            <w:vAlign w:val="top"/>
          </w:tcPr>
          <w:p w14:paraId="0DDD00FA">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8" w:space="0"/>
            </w:tcBorders>
            <w:noWrap w:val="0"/>
            <w:vAlign w:val="top"/>
          </w:tcPr>
          <w:p w14:paraId="7AEAD1DF">
            <w:pPr>
              <w:widowControl/>
              <w:spacing w:line="280" w:lineRule="exact"/>
              <w:rPr>
                <w:rFonts w:ascii="Times New Roman" w:hAnsi="Times New Roman"/>
                <w:bCs/>
                <w:color w:val="auto"/>
                <w:kern w:val="0"/>
                <w:szCs w:val="21"/>
                <w:highlight w:val="none"/>
              </w:rPr>
            </w:pPr>
          </w:p>
        </w:tc>
        <w:tc>
          <w:tcPr>
            <w:tcW w:w="686" w:type="dxa"/>
            <w:tcBorders>
              <w:top w:val="single" w:color="auto" w:sz="4" w:space="0"/>
              <w:bottom w:val="single" w:color="auto" w:sz="8" w:space="0"/>
            </w:tcBorders>
            <w:noWrap w:val="0"/>
            <w:vAlign w:val="top"/>
          </w:tcPr>
          <w:p w14:paraId="520AFCDB">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8" w:space="0"/>
            </w:tcBorders>
            <w:noWrap w:val="0"/>
            <w:vAlign w:val="top"/>
          </w:tcPr>
          <w:p w14:paraId="774D6B1D">
            <w:pPr>
              <w:widowControl/>
              <w:spacing w:line="280" w:lineRule="exact"/>
              <w:rPr>
                <w:rFonts w:ascii="Times New Roman" w:hAnsi="Times New Roman"/>
                <w:bCs/>
                <w:color w:val="auto"/>
                <w:kern w:val="0"/>
                <w:szCs w:val="21"/>
                <w:highlight w:val="none"/>
              </w:rPr>
            </w:pPr>
          </w:p>
        </w:tc>
        <w:tc>
          <w:tcPr>
            <w:tcW w:w="704" w:type="dxa"/>
            <w:tcBorders>
              <w:top w:val="single" w:color="auto" w:sz="4" w:space="0"/>
              <w:bottom w:val="single" w:color="auto" w:sz="8" w:space="0"/>
            </w:tcBorders>
            <w:noWrap w:val="0"/>
            <w:vAlign w:val="top"/>
          </w:tcPr>
          <w:p w14:paraId="0938B659">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8" w:space="0"/>
            </w:tcBorders>
            <w:noWrap w:val="0"/>
            <w:vAlign w:val="top"/>
          </w:tcPr>
          <w:p w14:paraId="3D718837">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8" w:space="0"/>
            </w:tcBorders>
            <w:noWrap w:val="0"/>
            <w:vAlign w:val="top"/>
          </w:tcPr>
          <w:p w14:paraId="7611392E">
            <w:pPr>
              <w:widowControl/>
              <w:spacing w:line="280" w:lineRule="exact"/>
              <w:rPr>
                <w:rFonts w:ascii="Times New Roman" w:hAnsi="Times New Roman"/>
                <w:bCs/>
                <w:color w:val="auto"/>
                <w:kern w:val="0"/>
                <w:szCs w:val="21"/>
                <w:highlight w:val="none"/>
              </w:rPr>
            </w:pPr>
          </w:p>
        </w:tc>
        <w:tc>
          <w:tcPr>
            <w:tcW w:w="687" w:type="dxa"/>
            <w:tcBorders>
              <w:top w:val="single" w:color="auto" w:sz="4" w:space="0"/>
              <w:bottom w:val="single" w:color="auto" w:sz="8" w:space="0"/>
            </w:tcBorders>
            <w:noWrap w:val="0"/>
            <w:vAlign w:val="top"/>
          </w:tcPr>
          <w:p w14:paraId="2CE268C7">
            <w:pPr>
              <w:widowControl/>
              <w:spacing w:line="280" w:lineRule="exact"/>
              <w:rPr>
                <w:rFonts w:ascii="Times New Roman" w:hAnsi="Times New Roman"/>
                <w:bCs/>
                <w:color w:val="auto"/>
                <w:kern w:val="0"/>
                <w:szCs w:val="21"/>
                <w:highlight w:val="none"/>
              </w:rPr>
            </w:pPr>
          </w:p>
        </w:tc>
        <w:tc>
          <w:tcPr>
            <w:tcW w:w="755" w:type="dxa"/>
            <w:tcBorders>
              <w:top w:val="single" w:color="auto" w:sz="4" w:space="0"/>
              <w:bottom w:val="single" w:color="auto" w:sz="8" w:space="0"/>
            </w:tcBorders>
            <w:noWrap w:val="0"/>
            <w:vAlign w:val="top"/>
          </w:tcPr>
          <w:p w14:paraId="03410DD7">
            <w:pPr>
              <w:widowControl/>
              <w:spacing w:line="280" w:lineRule="exact"/>
              <w:rPr>
                <w:rFonts w:ascii="Times New Roman" w:hAnsi="Times New Roman"/>
                <w:bCs/>
                <w:color w:val="auto"/>
                <w:kern w:val="0"/>
                <w:szCs w:val="21"/>
                <w:highlight w:val="none"/>
              </w:rPr>
            </w:pPr>
          </w:p>
        </w:tc>
        <w:tc>
          <w:tcPr>
            <w:tcW w:w="701" w:type="dxa"/>
            <w:tcBorders>
              <w:top w:val="single" w:color="auto" w:sz="4" w:space="0"/>
              <w:bottom w:val="single" w:color="auto" w:sz="8" w:space="0"/>
            </w:tcBorders>
            <w:noWrap w:val="0"/>
            <w:vAlign w:val="top"/>
          </w:tcPr>
          <w:p w14:paraId="67EB8BA4">
            <w:pPr>
              <w:widowControl/>
              <w:spacing w:line="280" w:lineRule="exact"/>
              <w:rPr>
                <w:rFonts w:ascii="Times New Roman" w:hAnsi="Times New Roman"/>
                <w:bCs/>
                <w:color w:val="auto"/>
                <w:kern w:val="0"/>
                <w:szCs w:val="21"/>
                <w:highlight w:val="none"/>
              </w:rPr>
            </w:pPr>
          </w:p>
        </w:tc>
        <w:tc>
          <w:tcPr>
            <w:tcW w:w="744" w:type="dxa"/>
            <w:tcBorders>
              <w:top w:val="single" w:color="auto" w:sz="4" w:space="0"/>
              <w:bottom w:val="single" w:color="auto" w:sz="8" w:space="0"/>
            </w:tcBorders>
            <w:noWrap w:val="0"/>
            <w:vAlign w:val="top"/>
          </w:tcPr>
          <w:p w14:paraId="2B89467F">
            <w:pPr>
              <w:widowControl/>
              <w:spacing w:line="280" w:lineRule="exact"/>
              <w:rPr>
                <w:rFonts w:ascii="Times New Roman" w:hAnsi="Times New Roman"/>
                <w:bCs/>
                <w:color w:val="auto"/>
                <w:kern w:val="0"/>
                <w:szCs w:val="21"/>
                <w:highlight w:val="none"/>
              </w:rPr>
            </w:pPr>
          </w:p>
        </w:tc>
        <w:tc>
          <w:tcPr>
            <w:tcW w:w="658" w:type="dxa"/>
            <w:tcBorders>
              <w:top w:val="single" w:color="auto" w:sz="4" w:space="0"/>
              <w:bottom w:val="single" w:color="auto" w:sz="8" w:space="0"/>
            </w:tcBorders>
            <w:noWrap w:val="0"/>
            <w:vAlign w:val="top"/>
          </w:tcPr>
          <w:p w14:paraId="073E65FF">
            <w:pPr>
              <w:widowControl/>
              <w:spacing w:line="280" w:lineRule="exact"/>
              <w:rPr>
                <w:rFonts w:ascii="Times New Roman" w:hAnsi="Times New Roman"/>
                <w:bCs/>
                <w:color w:val="auto"/>
                <w:kern w:val="0"/>
                <w:szCs w:val="21"/>
                <w:highlight w:val="none"/>
              </w:rPr>
            </w:pPr>
          </w:p>
        </w:tc>
        <w:tc>
          <w:tcPr>
            <w:tcW w:w="656" w:type="dxa"/>
            <w:tcBorders>
              <w:top w:val="single" w:color="auto" w:sz="4" w:space="0"/>
              <w:bottom w:val="single" w:color="auto" w:sz="8" w:space="0"/>
            </w:tcBorders>
            <w:noWrap w:val="0"/>
            <w:vAlign w:val="top"/>
          </w:tcPr>
          <w:p w14:paraId="51C50DD9">
            <w:pPr>
              <w:widowControl/>
              <w:spacing w:line="280" w:lineRule="exact"/>
              <w:rPr>
                <w:rFonts w:ascii="Times New Roman" w:hAnsi="Times New Roman"/>
                <w:bCs/>
                <w:color w:val="auto"/>
                <w:kern w:val="0"/>
                <w:szCs w:val="21"/>
                <w:highlight w:val="none"/>
              </w:rPr>
            </w:pPr>
          </w:p>
        </w:tc>
        <w:tc>
          <w:tcPr>
            <w:tcW w:w="820" w:type="dxa"/>
            <w:tcBorders>
              <w:top w:val="single" w:color="auto" w:sz="4" w:space="0"/>
              <w:bottom w:val="single" w:color="auto" w:sz="8" w:space="0"/>
            </w:tcBorders>
            <w:noWrap w:val="0"/>
            <w:vAlign w:val="top"/>
          </w:tcPr>
          <w:p w14:paraId="15E9B2CC">
            <w:pPr>
              <w:widowControl/>
              <w:spacing w:line="280" w:lineRule="exact"/>
              <w:rPr>
                <w:rFonts w:ascii="Times New Roman" w:hAnsi="Times New Roman"/>
                <w:bCs/>
                <w:color w:val="auto"/>
                <w:kern w:val="0"/>
                <w:szCs w:val="21"/>
                <w:highlight w:val="none"/>
              </w:rPr>
            </w:pPr>
          </w:p>
        </w:tc>
      </w:tr>
    </w:tbl>
    <w:p w14:paraId="4DB33CE8">
      <w:pPr>
        <w:spacing w:line="280" w:lineRule="exact"/>
        <w:rPr>
          <w:rFonts w:ascii="Times New Roman" w:hAnsi="Times New Roman"/>
          <w:bCs/>
          <w:color w:val="auto"/>
          <w:sz w:val="18"/>
          <w:szCs w:val="24"/>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011F8969">
      <w:pPr>
        <w:spacing w:line="240" w:lineRule="exact"/>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 xml:space="preserve"> </w:t>
      </w:r>
    </w:p>
    <w:p w14:paraId="2A036E9A">
      <w:pPr>
        <w:spacing w:line="360" w:lineRule="exact"/>
        <w:rPr>
          <w:rFonts w:ascii="Times New Roman" w:hAnsi="Times New Roman"/>
          <w:bCs/>
          <w:color w:val="auto"/>
          <w:sz w:val="18"/>
          <w:szCs w:val="24"/>
          <w:highlight w:val="none"/>
        </w:rPr>
      </w:pPr>
      <w:r>
        <w:rPr>
          <w:rFonts w:ascii="Times New Roman" w:hAnsi="Times New Roman"/>
          <w:bCs/>
          <w:color w:val="auto"/>
          <w:sz w:val="18"/>
          <w:szCs w:val="24"/>
          <w:highlight w:val="none"/>
        </w:rPr>
        <w:t>说明：1.本表由企业填报全部研究开发项目情况。</w:t>
      </w:r>
    </w:p>
    <w:p w14:paraId="79C07AAC">
      <w:pPr>
        <w:spacing w:line="360" w:lineRule="exact"/>
        <w:ind w:firstLine="540" w:firstLineChars="300"/>
        <w:rPr>
          <w:rFonts w:ascii="Times New Roman" w:hAnsi="Times New Roman"/>
          <w:bCs/>
          <w:color w:val="auto"/>
          <w:sz w:val="18"/>
          <w:szCs w:val="24"/>
          <w:highlight w:val="none"/>
        </w:rPr>
      </w:pPr>
      <w:r>
        <w:rPr>
          <w:rFonts w:ascii="Times New Roman" w:hAnsi="Times New Roman"/>
          <w:bCs/>
          <w:color w:val="auto"/>
          <w:sz w:val="18"/>
          <w:szCs w:val="24"/>
          <w:highlight w:val="none"/>
        </w:rPr>
        <w:t>2.审核关系：</w:t>
      </w:r>
    </w:p>
    <w:p w14:paraId="13F11A96">
      <w:pPr>
        <w:spacing w:line="360" w:lineRule="exact"/>
        <w:ind w:firstLine="630" w:firstLineChars="350"/>
        <w:rPr>
          <w:bCs/>
          <w:color w:val="auto"/>
          <w:sz w:val="18"/>
          <w:szCs w:val="24"/>
          <w:highlight w:val="none"/>
        </w:rPr>
      </w:pPr>
      <w:r>
        <w:rPr>
          <w:bCs/>
          <w:color w:val="auto"/>
          <w:sz w:val="18"/>
          <w:szCs w:val="24"/>
          <w:highlight w:val="none"/>
        </w:rPr>
        <w:t>表内审核：</w:t>
      </w:r>
    </w:p>
    <w:p w14:paraId="71781A05">
      <w:pPr>
        <w:spacing w:line="360" w:lineRule="exact"/>
        <w:ind w:left="525" w:leftChars="250"/>
        <w:rPr>
          <w:rFonts w:cs="Calibri"/>
          <w:bCs/>
          <w:color w:val="auto"/>
          <w:sz w:val="18"/>
          <w:szCs w:val="24"/>
          <w:highlight w:val="none"/>
        </w:rPr>
      </w:pPr>
      <w:r>
        <w:rPr>
          <w:rFonts w:cs="Calibri"/>
          <w:bCs/>
          <w:color w:val="auto"/>
          <w:sz w:val="18"/>
          <w:szCs w:val="24"/>
          <w:highlight w:val="none"/>
        </w:rPr>
        <w:t>（1）项目来源</w:t>
      </w:r>
      <w:r>
        <w:rPr>
          <w:rFonts w:hint="eastAsia" w:ascii="Times New Roman" w:hAnsi="Times New Roman" w:eastAsia="宋体" w:cs="Times New Roman"/>
          <w:bCs/>
          <w:color w:val="auto"/>
          <w:sz w:val="18"/>
          <w:szCs w:val="18"/>
          <w:highlight w:val="none"/>
        </w:rPr>
        <w:t>(QH11)</w:t>
      </w:r>
      <w:r>
        <w:rPr>
          <w:rFonts w:cs="Calibri"/>
          <w:bCs/>
          <w:color w:val="auto"/>
          <w:sz w:val="18"/>
          <w:szCs w:val="24"/>
          <w:highlight w:val="none"/>
        </w:rPr>
        <w:t>不得为空，有效代码为1、2、3、4或5</w:t>
      </w:r>
    </w:p>
    <w:p w14:paraId="5184CD50">
      <w:pPr>
        <w:spacing w:line="360" w:lineRule="exact"/>
        <w:ind w:left="525" w:leftChars="250"/>
        <w:rPr>
          <w:rFonts w:cs="Calibri"/>
          <w:bCs/>
          <w:color w:val="auto"/>
          <w:sz w:val="18"/>
          <w:szCs w:val="24"/>
          <w:highlight w:val="none"/>
        </w:rPr>
      </w:pPr>
      <w:r>
        <w:rPr>
          <w:rFonts w:cs="Calibri"/>
          <w:bCs/>
          <w:color w:val="auto"/>
          <w:sz w:val="18"/>
          <w:szCs w:val="24"/>
          <w:highlight w:val="none"/>
        </w:rPr>
        <w:t>（2）项目开展形式</w:t>
      </w:r>
      <w:r>
        <w:rPr>
          <w:rFonts w:hint="eastAsia" w:ascii="Times New Roman" w:hAnsi="Times New Roman" w:eastAsia="宋体" w:cs="Times New Roman"/>
          <w:bCs/>
          <w:color w:val="auto"/>
          <w:sz w:val="18"/>
          <w:szCs w:val="18"/>
          <w:highlight w:val="none"/>
        </w:rPr>
        <w:t>(QH31)</w:t>
      </w:r>
      <w:r>
        <w:rPr>
          <w:rFonts w:cs="Calibri"/>
          <w:bCs/>
          <w:color w:val="auto"/>
          <w:sz w:val="18"/>
          <w:szCs w:val="24"/>
          <w:highlight w:val="none"/>
        </w:rPr>
        <w:t>不得为空，有效代码为10、21、22、23、24、30或40</w:t>
      </w:r>
    </w:p>
    <w:p w14:paraId="5A29B296">
      <w:pPr>
        <w:spacing w:line="360" w:lineRule="exact"/>
        <w:ind w:left="1065" w:leftChars="250" w:hanging="540" w:hangingChars="300"/>
        <w:rPr>
          <w:rFonts w:cs="Calibri"/>
          <w:bCs/>
          <w:color w:val="auto"/>
          <w:sz w:val="18"/>
          <w:szCs w:val="24"/>
          <w:highlight w:val="none"/>
        </w:rPr>
      </w:pPr>
      <w:r>
        <w:rPr>
          <w:rFonts w:cs="Calibri"/>
          <w:bCs/>
          <w:color w:val="auto"/>
          <w:sz w:val="18"/>
          <w:szCs w:val="24"/>
          <w:highlight w:val="none"/>
        </w:rPr>
        <w:t>（3）项目当年成果形式</w:t>
      </w:r>
      <w:r>
        <w:rPr>
          <w:rFonts w:eastAsia="宋体" w:cs="Calibri"/>
          <w:bCs/>
          <w:color w:val="auto"/>
          <w:sz w:val="18"/>
          <w:szCs w:val="24"/>
          <w:highlight w:val="none"/>
        </w:rPr>
        <w:t>(</w:t>
      </w:r>
      <w:r>
        <w:rPr>
          <w:rFonts w:cs="Calibri"/>
          <w:bCs/>
          <w:color w:val="auto"/>
          <w:sz w:val="18"/>
          <w:szCs w:val="24"/>
          <w:highlight w:val="none"/>
        </w:rPr>
        <w:t>QH21</w:t>
      </w:r>
      <w:r>
        <w:rPr>
          <w:rFonts w:eastAsia="宋体" w:cs="Calibri"/>
          <w:bCs/>
          <w:color w:val="auto"/>
          <w:sz w:val="18"/>
          <w:szCs w:val="24"/>
          <w:highlight w:val="none"/>
        </w:rPr>
        <w:t>)不</w:t>
      </w:r>
      <w:r>
        <w:rPr>
          <w:rFonts w:cs="Calibri"/>
          <w:bCs/>
          <w:color w:val="auto"/>
          <w:sz w:val="18"/>
          <w:szCs w:val="24"/>
          <w:highlight w:val="none"/>
        </w:rPr>
        <w:t>得为空，有效代码为01、02、03、04、05、06、07、08、09、10、11、12、13或14</w:t>
      </w:r>
    </w:p>
    <w:p w14:paraId="479F3B76">
      <w:pPr>
        <w:spacing w:line="360" w:lineRule="exact"/>
        <w:ind w:left="525" w:leftChars="250"/>
        <w:rPr>
          <w:rFonts w:cs="Calibri"/>
          <w:bCs/>
          <w:color w:val="auto"/>
          <w:sz w:val="18"/>
          <w:szCs w:val="24"/>
          <w:highlight w:val="none"/>
        </w:rPr>
      </w:pPr>
      <w:r>
        <w:rPr>
          <w:rFonts w:cs="Calibri"/>
          <w:bCs/>
          <w:color w:val="auto"/>
          <w:sz w:val="18"/>
          <w:szCs w:val="24"/>
          <w:highlight w:val="none"/>
        </w:rPr>
        <w:t>（4）项目技术经济目标</w:t>
      </w:r>
      <w:r>
        <w:rPr>
          <w:rFonts w:eastAsia="宋体" w:cs="Calibri"/>
          <w:bCs/>
          <w:color w:val="auto"/>
          <w:sz w:val="18"/>
          <w:szCs w:val="24"/>
          <w:highlight w:val="none"/>
        </w:rPr>
        <w:t>(</w:t>
      </w:r>
      <w:r>
        <w:rPr>
          <w:rFonts w:cs="Calibri"/>
          <w:bCs/>
          <w:color w:val="auto"/>
          <w:sz w:val="18"/>
          <w:szCs w:val="24"/>
          <w:highlight w:val="none"/>
        </w:rPr>
        <w:t>QH32</w:t>
      </w:r>
      <w:r>
        <w:rPr>
          <w:rFonts w:eastAsia="宋体" w:cs="Calibri"/>
          <w:bCs/>
          <w:color w:val="auto"/>
          <w:sz w:val="18"/>
          <w:szCs w:val="24"/>
          <w:highlight w:val="none"/>
        </w:rPr>
        <w:t>)</w:t>
      </w:r>
      <w:r>
        <w:rPr>
          <w:rFonts w:cs="Calibri"/>
          <w:bCs/>
          <w:color w:val="auto"/>
          <w:sz w:val="18"/>
          <w:szCs w:val="24"/>
          <w:highlight w:val="none"/>
        </w:rPr>
        <w:t>不得为空，有效代码为1、2、3、4、5、6、7、8或9</w:t>
      </w:r>
    </w:p>
    <w:p w14:paraId="031A1F82">
      <w:pPr>
        <w:spacing w:line="360" w:lineRule="exact"/>
        <w:ind w:left="525" w:leftChars="250"/>
        <w:rPr>
          <w:rFonts w:cs="Calibri"/>
          <w:bCs/>
          <w:color w:val="auto"/>
          <w:sz w:val="18"/>
          <w:szCs w:val="24"/>
          <w:highlight w:val="none"/>
        </w:rPr>
      </w:pPr>
      <w:r>
        <w:rPr>
          <w:rFonts w:cs="Calibri"/>
          <w:bCs/>
          <w:color w:val="auto"/>
          <w:sz w:val="18"/>
          <w:szCs w:val="24"/>
          <w:highlight w:val="none"/>
        </w:rPr>
        <w:t>（5）项目活动类型</w:t>
      </w:r>
      <w:r>
        <w:rPr>
          <w:rFonts w:eastAsia="宋体" w:cs="Calibri"/>
          <w:bCs/>
          <w:color w:val="auto"/>
          <w:sz w:val="18"/>
          <w:szCs w:val="24"/>
          <w:highlight w:val="none"/>
        </w:rPr>
        <w:t>(</w:t>
      </w:r>
      <w:r>
        <w:rPr>
          <w:rFonts w:cs="Calibri"/>
          <w:bCs/>
          <w:color w:val="auto"/>
          <w:sz w:val="18"/>
          <w:szCs w:val="24"/>
          <w:highlight w:val="none"/>
        </w:rPr>
        <w:t>QH33</w:t>
      </w:r>
      <w:r>
        <w:rPr>
          <w:rFonts w:eastAsia="宋体" w:cs="Calibri"/>
          <w:bCs/>
          <w:color w:val="auto"/>
          <w:sz w:val="18"/>
          <w:szCs w:val="24"/>
          <w:highlight w:val="none"/>
        </w:rPr>
        <w:t>)</w:t>
      </w:r>
      <w:r>
        <w:rPr>
          <w:rFonts w:cs="Calibri"/>
          <w:bCs/>
          <w:color w:val="auto"/>
          <w:sz w:val="18"/>
          <w:szCs w:val="24"/>
          <w:highlight w:val="none"/>
        </w:rPr>
        <w:t>不得为空，有效代码为1、2、3、4或5</w:t>
      </w:r>
    </w:p>
    <w:p w14:paraId="06FA7BBD">
      <w:pPr>
        <w:spacing w:line="360" w:lineRule="exact"/>
        <w:ind w:left="525" w:leftChars="250"/>
        <w:rPr>
          <w:rFonts w:cs="Calibri"/>
          <w:bCs/>
          <w:color w:val="auto"/>
          <w:sz w:val="18"/>
          <w:szCs w:val="24"/>
          <w:highlight w:val="none"/>
        </w:rPr>
      </w:pPr>
      <w:r>
        <w:rPr>
          <w:rFonts w:cs="Calibri"/>
          <w:bCs/>
          <w:color w:val="auto"/>
          <w:sz w:val="18"/>
          <w:szCs w:val="24"/>
          <w:highlight w:val="none"/>
        </w:rPr>
        <w:t>（6）项目的起始时间</w:t>
      </w:r>
      <w:r>
        <w:rPr>
          <w:rFonts w:eastAsia="宋体" w:cs="Calibri"/>
          <w:bCs/>
          <w:color w:val="auto"/>
          <w:sz w:val="18"/>
          <w:szCs w:val="24"/>
          <w:highlight w:val="none"/>
        </w:rPr>
        <w:t>(</w:t>
      </w:r>
      <w:r>
        <w:rPr>
          <w:rFonts w:cs="Calibri"/>
          <w:bCs/>
          <w:color w:val="auto"/>
          <w:sz w:val="18"/>
          <w:szCs w:val="24"/>
          <w:highlight w:val="none"/>
        </w:rPr>
        <w:t>QH34</w:t>
      </w:r>
      <w:r>
        <w:rPr>
          <w:rFonts w:eastAsia="宋体" w:cs="Calibri"/>
          <w:bCs/>
          <w:color w:val="auto"/>
          <w:sz w:val="18"/>
          <w:szCs w:val="24"/>
          <w:highlight w:val="none"/>
        </w:rPr>
        <w:t>)</w:t>
      </w:r>
      <w:r>
        <w:rPr>
          <w:rFonts w:cs="Calibri"/>
          <w:bCs/>
          <w:color w:val="auto"/>
          <w:sz w:val="18"/>
          <w:szCs w:val="24"/>
          <w:highlight w:val="none"/>
        </w:rPr>
        <w:t>须填满六位且</w:t>
      </w:r>
      <w:r>
        <w:rPr>
          <w:rFonts w:hint="eastAsia" w:ascii="Times New Roman" w:hAnsi="Times New Roman" w:eastAsia="宋体" w:cs="Times New Roman"/>
          <w:bCs/>
          <w:color w:val="auto"/>
          <w:sz w:val="18"/>
          <w:szCs w:val="18"/>
          <w:highlight w:val="none"/>
        </w:rPr>
        <w:t>≤</w:t>
      </w:r>
      <w:r>
        <w:rPr>
          <w:rFonts w:cs="Calibri"/>
          <w:bCs/>
          <w:color w:val="auto"/>
          <w:sz w:val="18"/>
          <w:szCs w:val="24"/>
          <w:highlight w:val="none"/>
        </w:rPr>
        <w:t>202112</w:t>
      </w:r>
    </w:p>
    <w:p w14:paraId="07A6CB5A">
      <w:pPr>
        <w:spacing w:line="360" w:lineRule="exact"/>
        <w:ind w:left="525" w:leftChars="250"/>
        <w:rPr>
          <w:rFonts w:cs="Calibri"/>
          <w:bCs/>
          <w:color w:val="auto"/>
          <w:sz w:val="18"/>
          <w:szCs w:val="24"/>
          <w:highlight w:val="none"/>
        </w:rPr>
      </w:pPr>
      <w:r>
        <w:rPr>
          <w:rFonts w:cs="Calibri"/>
          <w:bCs/>
          <w:color w:val="auto"/>
          <w:sz w:val="18"/>
          <w:szCs w:val="24"/>
          <w:highlight w:val="none"/>
        </w:rPr>
        <w:t>（7）若项目完成时间QH3</w:t>
      </w:r>
      <w:r>
        <w:rPr>
          <w:rFonts w:hint="eastAsia" w:ascii="Times New Roman" w:hAnsi="Times New Roman" w:eastAsia="宋体" w:cs="Times New Roman"/>
          <w:bCs/>
          <w:color w:val="auto"/>
          <w:sz w:val="18"/>
          <w:szCs w:val="18"/>
          <w:highlight w:val="none"/>
        </w:rPr>
        <w:t>5&lt;&gt;</w:t>
      </w:r>
      <w:r>
        <w:rPr>
          <w:rFonts w:cs="Calibri"/>
          <w:bCs/>
          <w:color w:val="auto"/>
          <w:sz w:val="18"/>
          <w:szCs w:val="24"/>
          <w:highlight w:val="none"/>
        </w:rPr>
        <w:t>“000000”，则</w:t>
      </w:r>
      <w:r>
        <w:rPr>
          <w:rFonts w:ascii="Times New Roman" w:hAnsi="Times New Roman" w:eastAsia="宋体" w:cs="Calibri"/>
          <w:bCs/>
          <w:color w:val="auto"/>
          <w:sz w:val="18"/>
          <w:szCs w:val="24"/>
          <w:highlight w:val="none"/>
        </w:rPr>
        <w:t>QH3</w:t>
      </w:r>
      <w:r>
        <w:rPr>
          <w:rFonts w:hint="eastAsia" w:ascii="Times New Roman" w:hAnsi="Times New Roman" w:eastAsia="宋体" w:cs="Times New Roman"/>
          <w:bCs/>
          <w:color w:val="auto"/>
          <w:sz w:val="18"/>
          <w:szCs w:val="18"/>
          <w:highlight w:val="none"/>
        </w:rPr>
        <w:t>5≥QH3</w:t>
      </w:r>
      <w:r>
        <w:rPr>
          <w:rFonts w:ascii="Times New Roman" w:hAnsi="Times New Roman" w:eastAsia="宋体" w:cs="Calibri"/>
          <w:bCs/>
          <w:color w:val="auto"/>
          <w:sz w:val="18"/>
          <w:szCs w:val="24"/>
          <w:highlight w:val="none"/>
        </w:rPr>
        <w:t>4</w:t>
      </w:r>
      <w:r>
        <w:rPr>
          <w:rFonts w:cs="Calibri"/>
          <w:bCs/>
          <w:color w:val="auto"/>
          <w:sz w:val="18"/>
          <w:szCs w:val="24"/>
          <w:highlight w:val="none"/>
        </w:rPr>
        <w:t>且</w:t>
      </w:r>
      <w:r>
        <w:rPr>
          <w:rFonts w:hint="eastAsia" w:ascii="Times New Roman" w:hAnsi="Times New Roman" w:eastAsia="宋体" w:cs="Times New Roman"/>
          <w:bCs/>
          <w:color w:val="auto"/>
          <w:sz w:val="18"/>
          <w:szCs w:val="18"/>
          <w:highlight w:val="none"/>
        </w:rPr>
        <w:t>QH34≤202112</w:t>
      </w:r>
      <w:r>
        <w:rPr>
          <w:rFonts w:cs="Calibri"/>
          <w:bCs/>
          <w:color w:val="auto"/>
          <w:sz w:val="18"/>
          <w:szCs w:val="24"/>
          <w:highlight w:val="none"/>
        </w:rPr>
        <w:t>且</w:t>
      </w:r>
      <w:r>
        <w:rPr>
          <w:rFonts w:hint="eastAsia" w:ascii="Times New Roman" w:hAnsi="Times New Roman" w:eastAsia="宋体" w:cs="Times New Roman"/>
          <w:bCs/>
          <w:color w:val="auto"/>
          <w:sz w:val="18"/>
          <w:szCs w:val="18"/>
          <w:highlight w:val="none"/>
        </w:rPr>
        <w:t>QH35≥202101</w:t>
      </w:r>
    </w:p>
    <w:p w14:paraId="7AF5DA4F">
      <w:pPr>
        <w:spacing w:line="360" w:lineRule="exact"/>
        <w:ind w:left="1065" w:leftChars="250" w:hanging="540" w:hangingChars="300"/>
        <w:rPr>
          <w:rFonts w:cs="Calibri"/>
          <w:bCs/>
          <w:color w:val="auto"/>
          <w:sz w:val="18"/>
          <w:szCs w:val="24"/>
          <w:highlight w:val="none"/>
        </w:rPr>
      </w:pPr>
      <w:r>
        <w:rPr>
          <w:rFonts w:cs="Calibri"/>
          <w:bCs/>
          <w:color w:val="auto"/>
          <w:sz w:val="18"/>
          <w:szCs w:val="24"/>
          <w:highlight w:val="none"/>
        </w:rPr>
        <w:t>（8）若项目的起始时间（QH34）为填报期上年或者项目在填报期当年尚未完成，即</w:t>
      </w:r>
      <w:r>
        <w:rPr>
          <w:rFonts w:hint="eastAsia" w:ascii="Times New Roman" w:hAnsi="Times New Roman" w:eastAsia="宋体" w:cs="Times New Roman"/>
          <w:bCs/>
          <w:color w:val="auto"/>
          <w:sz w:val="18"/>
          <w:szCs w:val="18"/>
          <w:highlight w:val="none"/>
        </w:rPr>
        <w:t>QH34≤202012</w:t>
      </w:r>
      <w:r>
        <w:rPr>
          <w:rFonts w:cs="Calibri"/>
          <w:bCs/>
          <w:color w:val="auto"/>
          <w:sz w:val="18"/>
          <w:szCs w:val="24"/>
          <w:highlight w:val="none"/>
        </w:rPr>
        <w:t>或</w:t>
      </w:r>
      <w:r>
        <w:rPr>
          <w:rFonts w:hint="eastAsia" w:ascii="Times New Roman" w:hAnsi="Times New Roman" w:eastAsia="宋体" w:cs="Times New Roman"/>
          <w:bCs/>
          <w:color w:val="auto"/>
          <w:sz w:val="18"/>
          <w:szCs w:val="18"/>
          <w:highlight w:val="none"/>
        </w:rPr>
        <w:t>QH35≥202201</w:t>
      </w:r>
      <w:r>
        <w:rPr>
          <w:rFonts w:cs="Calibri"/>
          <w:bCs/>
          <w:color w:val="auto"/>
          <w:sz w:val="18"/>
          <w:szCs w:val="24"/>
          <w:highlight w:val="none"/>
        </w:rPr>
        <w:t>，则属跨年项目，QH36的有效代码为1、2、3或4</w:t>
      </w:r>
    </w:p>
    <w:p w14:paraId="04D72684">
      <w:pPr>
        <w:spacing w:line="360" w:lineRule="exact"/>
        <w:ind w:left="1065" w:leftChars="250" w:hanging="540" w:hangingChars="300"/>
        <w:rPr>
          <w:rFonts w:cs="Calibri"/>
          <w:bCs/>
          <w:color w:val="auto"/>
          <w:sz w:val="18"/>
          <w:szCs w:val="24"/>
          <w:highlight w:val="none"/>
        </w:rPr>
      </w:pPr>
      <w:r>
        <w:rPr>
          <w:rFonts w:cs="Calibri"/>
          <w:bCs/>
          <w:color w:val="auto"/>
          <w:sz w:val="18"/>
          <w:szCs w:val="24"/>
          <w:highlight w:val="none"/>
        </w:rPr>
        <w:t>（9）若项目参加人员</w:t>
      </w:r>
      <w:r>
        <w:rPr>
          <w:rFonts w:hint="eastAsia" w:ascii="Times New Roman" w:hAnsi="Times New Roman" w:eastAsia="宋体" w:cs="Times New Roman"/>
          <w:bCs/>
          <w:color w:val="auto"/>
          <w:sz w:val="18"/>
          <w:szCs w:val="18"/>
          <w:highlight w:val="none"/>
        </w:rPr>
        <w:t>QH44&gt;0</w:t>
      </w:r>
      <w:r>
        <w:rPr>
          <w:rFonts w:cs="Calibri"/>
          <w:bCs/>
          <w:color w:val="auto"/>
          <w:sz w:val="18"/>
          <w:szCs w:val="24"/>
          <w:highlight w:val="none"/>
        </w:rPr>
        <w:t>则项目人员实际工作时间</w:t>
      </w:r>
      <w:r>
        <w:rPr>
          <w:rFonts w:hint="eastAsia" w:ascii="Times New Roman" w:hAnsi="Times New Roman" w:eastAsia="宋体" w:cs="Times New Roman"/>
          <w:bCs/>
          <w:color w:val="auto"/>
          <w:sz w:val="18"/>
          <w:szCs w:val="18"/>
          <w:highlight w:val="none"/>
        </w:rPr>
        <w:t>QH40&gt;0</w:t>
      </w:r>
      <w:r>
        <w:rPr>
          <w:rFonts w:cs="Calibri"/>
          <w:bCs/>
          <w:color w:val="auto"/>
          <w:sz w:val="18"/>
          <w:szCs w:val="24"/>
          <w:highlight w:val="none"/>
        </w:rPr>
        <w:t>，项目经费支出QH51&gt;0；若项目经费支出Q</w:t>
      </w:r>
      <w:r>
        <w:rPr>
          <w:rFonts w:hint="eastAsia" w:ascii="Times New Roman" w:hAnsi="Times New Roman" w:eastAsia="宋体" w:cs="Times New Roman"/>
          <w:bCs/>
          <w:color w:val="auto"/>
          <w:sz w:val="18"/>
          <w:szCs w:val="18"/>
          <w:highlight w:val="none"/>
        </w:rPr>
        <w:t>H51&gt;0</w:t>
      </w:r>
      <w:r>
        <w:rPr>
          <w:rFonts w:cs="Calibri"/>
          <w:bCs/>
          <w:color w:val="auto"/>
          <w:sz w:val="18"/>
          <w:szCs w:val="24"/>
          <w:highlight w:val="none"/>
        </w:rPr>
        <w:t>则项目参加人员</w:t>
      </w:r>
      <w:r>
        <w:rPr>
          <w:rFonts w:hint="eastAsia" w:ascii="Times New Roman" w:hAnsi="Times New Roman" w:eastAsia="宋体" w:cs="Times New Roman"/>
          <w:bCs/>
          <w:color w:val="auto"/>
          <w:sz w:val="18"/>
          <w:szCs w:val="18"/>
          <w:highlight w:val="none"/>
        </w:rPr>
        <w:t>QH44&gt;0</w:t>
      </w:r>
      <w:r>
        <w:rPr>
          <w:rFonts w:cs="Calibri"/>
          <w:bCs/>
          <w:color w:val="auto"/>
          <w:sz w:val="18"/>
          <w:szCs w:val="24"/>
          <w:highlight w:val="none"/>
        </w:rPr>
        <w:t>；</w:t>
      </w:r>
    </w:p>
    <w:p w14:paraId="4D0E69A0">
      <w:pPr>
        <w:spacing w:line="360" w:lineRule="exact"/>
        <w:ind w:left="525" w:leftChars="250"/>
        <w:rPr>
          <w:rFonts w:cs="Calibri"/>
          <w:bCs/>
          <w:color w:val="auto"/>
          <w:sz w:val="18"/>
          <w:szCs w:val="24"/>
          <w:highlight w:val="none"/>
        </w:rPr>
      </w:pPr>
      <w:r>
        <w:rPr>
          <w:rFonts w:cs="Calibri"/>
          <w:bCs/>
          <w:color w:val="auto"/>
          <w:sz w:val="18"/>
          <w:szCs w:val="24"/>
          <w:highlight w:val="none"/>
        </w:rPr>
        <w:t>（10）项目经费支出</w:t>
      </w:r>
      <w:r>
        <w:rPr>
          <w:rFonts w:hint="eastAsia" w:ascii="Times New Roman" w:hAnsi="Times New Roman" w:eastAsia="宋体" w:cs="Times New Roman"/>
          <w:bCs/>
          <w:color w:val="auto"/>
          <w:sz w:val="18"/>
          <w:szCs w:val="18"/>
          <w:highlight w:val="none"/>
        </w:rPr>
        <w:t>QH51≥</w:t>
      </w:r>
      <w:r>
        <w:rPr>
          <w:rFonts w:cs="Calibri"/>
          <w:bCs/>
          <w:color w:val="auto"/>
          <w:sz w:val="18"/>
          <w:szCs w:val="24"/>
          <w:highlight w:val="none"/>
        </w:rPr>
        <w:t>政府资金QH52</w:t>
      </w:r>
    </w:p>
    <w:p w14:paraId="5977C679">
      <w:pPr>
        <w:spacing w:line="360" w:lineRule="exact"/>
        <w:ind w:left="1065" w:leftChars="250" w:hanging="540" w:hangingChars="300"/>
        <w:rPr>
          <w:rFonts w:cs="Calibri"/>
          <w:bCs/>
          <w:color w:val="auto"/>
          <w:sz w:val="18"/>
          <w:szCs w:val="24"/>
          <w:highlight w:val="none"/>
        </w:rPr>
      </w:pPr>
      <w:r>
        <w:rPr>
          <w:rFonts w:cs="Calibri"/>
          <w:bCs/>
          <w:color w:val="auto"/>
          <w:sz w:val="18"/>
          <w:szCs w:val="24"/>
          <w:highlight w:val="none"/>
        </w:rPr>
        <w:t>（11）若项目开展形式QH31的有效代码为30（委托其他企业或单位），则跨年项目所处主要进展阶段（QH36）、参加项目人员（QH44）和项目人员实际工作时间（QH40）项免填</w:t>
      </w:r>
    </w:p>
    <w:p w14:paraId="3065179F">
      <w:pPr>
        <w:spacing w:line="360" w:lineRule="exact"/>
        <w:ind w:left="525" w:leftChars="250"/>
        <w:rPr>
          <w:rFonts w:cs="Calibri"/>
          <w:bCs/>
          <w:color w:val="auto"/>
          <w:sz w:val="18"/>
          <w:szCs w:val="24"/>
          <w:highlight w:val="none"/>
        </w:rPr>
      </w:pPr>
      <w:r>
        <w:rPr>
          <w:rFonts w:cs="Calibri"/>
          <w:bCs/>
          <w:color w:val="auto"/>
          <w:sz w:val="18"/>
          <w:szCs w:val="24"/>
          <w:highlight w:val="none"/>
        </w:rPr>
        <w:t>表间审核：</w:t>
      </w:r>
    </w:p>
    <w:p w14:paraId="3419A597">
      <w:pPr>
        <w:numPr>
          <w:ilvl w:val="0"/>
          <w:numId w:val="3"/>
        </w:numPr>
        <w:spacing w:line="360" w:lineRule="exact"/>
        <w:ind w:left="525" w:leftChars="250"/>
        <w:rPr>
          <w:rFonts w:ascii="Times New Roman" w:hAnsi="Times New Roman" w:eastAsia="宋体" w:cs="Calibri"/>
          <w:bCs/>
          <w:color w:val="auto"/>
          <w:sz w:val="18"/>
          <w:szCs w:val="24"/>
          <w:highlight w:val="none"/>
        </w:rPr>
      </w:pPr>
      <w:r>
        <w:rPr>
          <w:rFonts w:ascii="Times New Roman" w:hAnsi="Times New Roman" w:eastAsia="宋体" w:cs="Calibri"/>
          <w:bCs/>
          <w:color w:val="auto"/>
          <w:sz w:val="18"/>
          <w:szCs w:val="24"/>
          <w:highlight w:val="none"/>
        </w:rPr>
        <w:t>GQ-004表∑QH40（项目人员实际工作时间合计）</w:t>
      </w:r>
      <w:r>
        <w:rPr>
          <w:rFonts w:hint="eastAsia" w:ascii="Times New Roman" w:hAnsi="Times New Roman" w:eastAsia="宋体" w:cs="Times New Roman"/>
          <w:bCs/>
          <w:color w:val="auto"/>
          <w:sz w:val="18"/>
          <w:szCs w:val="18"/>
          <w:highlight w:val="none"/>
        </w:rPr>
        <w:t>≤GQ-005</w:t>
      </w:r>
      <w:r>
        <w:rPr>
          <w:rFonts w:ascii="Times New Roman" w:hAnsi="Times New Roman" w:eastAsia="宋体" w:cs="Calibri"/>
          <w:bCs/>
          <w:color w:val="auto"/>
          <w:sz w:val="18"/>
          <w:szCs w:val="24"/>
          <w:highlight w:val="none"/>
        </w:rPr>
        <w:t>表QJ09（研究开发人员）*12</w:t>
      </w:r>
    </w:p>
    <w:p w14:paraId="6B9469EB">
      <w:pPr>
        <w:tabs>
          <w:tab w:val="left" w:pos="753"/>
        </w:tabs>
        <w:snapToGrid/>
        <w:spacing w:line="360" w:lineRule="exact"/>
        <w:ind w:left="525" w:leftChars="250"/>
        <w:jc w:val="left"/>
        <w:rPr>
          <w:rFonts w:cs="Calibri"/>
          <w:bCs/>
          <w:color w:val="auto"/>
          <w:sz w:val="18"/>
          <w:szCs w:val="24"/>
          <w:highlight w:val="none"/>
        </w:rPr>
      </w:pPr>
      <w:r>
        <w:rPr>
          <w:rFonts w:ascii="Times New Roman" w:hAnsi="Times New Roman" w:eastAsia="宋体" w:cs="Calibri"/>
          <w:bCs/>
          <w:color w:val="auto"/>
          <w:sz w:val="18"/>
          <w:szCs w:val="24"/>
          <w:highlight w:val="none"/>
        </w:rPr>
        <w:t>（2）GQ-004表∑QH51（</w:t>
      </w:r>
      <w:r>
        <w:rPr>
          <w:rFonts w:cs="Calibri"/>
          <w:bCs/>
          <w:color w:val="auto"/>
          <w:sz w:val="18"/>
          <w:szCs w:val="24"/>
          <w:highlight w:val="none"/>
        </w:rPr>
        <w:t>项目经费支出合计）</w:t>
      </w:r>
      <w:r>
        <w:rPr>
          <w:rFonts w:hint="eastAsia" w:ascii="Times New Roman" w:hAnsi="Times New Roman" w:eastAsia="宋体" w:cs="Times New Roman"/>
          <w:bCs/>
          <w:color w:val="auto"/>
          <w:sz w:val="18"/>
          <w:szCs w:val="18"/>
          <w:highlight w:val="none"/>
        </w:rPr>
        <w:t>≤GQ-005</w:t>
      </w:r>
      <w:r>
        <w:rPr>
          <w:rFonts w:cs="Calibri"/>
          <w:bCs/>
          <w:color w:val="auto"/>
          <w:sz w:val="18"/>
          <w:szCs w:val="24"/>
          <w:highlight w:val="none"/>
        </w:rPr>
        <w:t>表QJ20（研究开发费用合计）</w:t>
      </w:r>
    </w:p>
    <w:p w14:paraId="5539D445">
      <w:pPr>
        <w:tabs>
          <w:tab w:val="left" w:pos="753"/>
        </w:tabs>
        <w:snapToGrid/>
        <w:spacing w:line="360" w:lineRule="exact"/>
        <w:ind w:left="0" w:leftChars="0"/>
        <w:jc w:val="center"/>
        <w:rPr>
          <w:rFonts w:hint="eastAsia" w:ascii="黑体" w:hAnsi="黑体" w:eastAsia="黑体" w:cs="黑体"/>
          <w:b w:val="0"/>
          <w:bCs/>
          <w:color w:val="auto"/>
          <w:kern w:val="0"/>
          <w:sz w:val="32"/>
          <w:szCs w:val="32"/>
          <w:highlight w:val="none"/>
        </w:rPr>
      </w:pPr>
      <w:r>
        <w:rPr>
          <w:color w:val="auto"/>
          <w:highlight w:val="none"/>
        </w:rPr>
        <w:br w:type="page"/>
      </w:r>
      <w:r>
        <w:rPr>
          <w:rFonts w:hint="eastAsia" w:ascii="黑体" w:hAnsi="黑体" w:eastAsia="黑体" w:cs="黑体"/>
          <w:b w:val="0"/>
          <w:bCs/>
          <w:color w:val="auto"/>
          <w:kern w:val="0"/>
          <w:sz w:val="32"/>
          <w:szCs w:val="32"/>
          <w:highlight w:val="none"/>
        </w:rPr>
        <w:t>指标解释</w:t>
      </w:r>
    </w:p>
    <w:p w14:paraId="15B12116">
      <w:pPr>
        <w:pStyle w:val="9"/>
        <w:rPr>
          <w:rFonts w:ascii="Times New Roman" w:hAnsi="Times New Roman"/>
          <w:color w:val="auto"/>
          <w:highlight w:val="none"/>
        </w:rPr>
      </w:pPr>
    </w:p>
    <w:p w14:paraId="6C7273D5">
      <w:pPr>
        <w:snapToGrid w:val="0"/>
        <w:spacing w:line="400" w:lineRule="exact"/>
        <w:ind w:firstLine="420" w:firstLineChars="200"/>
        <w:rPr>
          <w:rFonts w:hint="eastAsia" w:ascii="Times New Roman" w:hAnsi="Times New Roman"/>
          <w:bCs/>
          <w:color w:val="auto"/>
          <w:szCs w:val="24"/>
          <w:highlight w:val="none"/>
        </w:rPr>
      </w:pPr>
      <w:r>
        <w:rPr>
          <w:rFonts w:ascii="Times New Roman" w:hAnsi="Times New Roman" w:eastAsia="黑体"/>
          <w:bCs/>
          <w:color w:val="auto"/>
          <w:szCs w:val="21"/>
          <w:highlight w:val="none"/>
        </w:rPr>
        <w:t>研究开发</w:t>
      </w:r>
      <w:r>
        <w:rPr>
          <w:rFonts w:hint="eastAsia" w:ascii="Times New Roman" w:hAnsi="Times New Roman"/>
          <w:bCs/>
          <w:color w:val="auto"/>
          <w:szCs w:val="24"/>
          <w:highlight w:val="none"/>
        </w:rPr>
        <w:t>根据企业相关会计准则规定，研究是指为获取并理解新的科学或技术知识而进行的独创性的有计划调查。开发是指在进行商业性生产或使用前，将研究成果或其他知识应用于某项计划或设计，以生产出新的或具有实质性改进的材料、装置、产品等。</w:t>
      </w:r>
    </w:p>
    <w:p w14:paraId="1190AE11">
      <w:pPr>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企业的研究开发活动不包括：</w:t>
      </w:r>
    </w:p>
    <w:p w14:paraId="3E81A9AE">
      <w:pPr>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1）为使产生的新产品、材料和装置，建立的新工艺、系统和服务以及做实质性改进后的上述各项能够投入生产或实际应用，解决所存在的技术问题而进行的系统性的工作。这些活动的成果形式大多是可供生产和实际操作的带有技术和工艺参数的图纸、技术标准和操作规范。</w:t>
      </w:r>
    </w:p>
    <w:p w14:paraId="77C3BAD7">
      <w:pPr>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（2）企业从事的常规性技术升级或对某项科研成果直接应用等活动（如直接采用新的工艺、材料、装置、产品、服务或知识等）。</w:t>
      </w:r>
    </w:p>
    <w:p w14:paraId="0A09E57C">
      <w:pPr>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（3）就特定技术项目提供可行性论证、技术预测、专题技术调查、分析评价所提供的技术咨询服务。</w:t>
      </w:r>
    </w:p>
    <w:p w14:paraId="4460967B">
      <w:pPr>
        <w:snapToGrid w:val="0"/>
        <w:spacing w:line="400" w:lineRule="exact"/>
        <w:ind w:firstLine="420" w:firstLineChars="200"/>
        <w:rPr>
          <w:rFonts w:ascii="Times New Roman" w:hAnsi="Times New Roman"/>
          <w:bCs/>
          <w:color w:val="auto"/>
          <w:szCs w:val="24"/>
          <w:highlight w:val="none"/>
        </w:rPr>
      </w:pPr>
      <w:r>
        <w:rPr>
          <w:rFonts w:ascii="Times New Roman" w:hAnsi="Times New Roman"/>
          <w:bCs/>
          <w:color w:val="auto"/>
          <w:szCs w:val="24"/>
          <w:highlight w:val="none"/>
        </w:rPr>
        <w:t>（4）解决特定技术问题所提供的服务，包括一般性技术服务、技术中介服务和技术培训服务。</w:t>
      </w:r>
    </w:p>
    <w:p w14:paraId="6C3F8EC6">
      <w:pPr>
        <w:snapToGrid w:val="0"/>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项目名称</w:t>
      </w:r>
      <w:r>
        <w:rPr>
          <w:rFonts w:hint="eastAsia" w:ascii="Times New Roman" w:hAnsi="Times New Roman"/>
          <w:bCs/>
          <w:color w:val="auto"/>
          <w:szCs w:val="24"/>
          <w:highlight w:val="none"/>
        </w:rPr>
        <w:t>按企业研究开发项目的立项计划书、项目任务书或项目合同书等有关立项资料中确定的项目名称填写，应与企业会计账中有关研究开发会计科目或向税务部门提供的研发支出辅助账中归集的项目具体名称对应。</w:t>
      </w:r>
    </w:p>
    <w:p w14:paraId="1CB81B26">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项目来源</w:t>
      </w:r>
      <w:r>
        <w:rPr>
          <w:rFonts w:hint="eastAsia" w:ascii="Times New Roman" w:hAnsi="Times New Roman"/>
          <w:bCs/>
          <w:color w:val="auto"/>
          <w:szCs w:val="24"/>
          <w:highlight w:val="none"/>
        </w:rPr>
        <w:t>按相应的分类填写代码，具体的分类及代码是：1.本企业自选项目；2.政府部门科技项目；3.其他企业（单位）委托项目；4.境外项目；5.其他项目。</w:t>
      </w:r>
    </w:p>
    <w:p w14:paraId="0E82E926">
      <w:pPr>
        <w:spacing w:line="400" w:lineRule="exact"/>
        <w:ind w:firstLine="420" w:firstLineChars="200"/>
        <w:rPr>
          <w:rFonts w:ascii="Times New Roman" w:hAnsi="Times New Roman"/>
          <w:bCs/>
          <w:color w:val="auto"/>
          <w:spacing w:val="-6"/>
          <w:szCs w:val="24"/>
          <w:highlight w:val="none"/>
        </w:rPr>
      </w:pPr>
      <w:r>
        <w:rPr>
          <w:rFonts w:ascii="Times New Roman" w:hAnsi="Times New Roman"/>
          <w:bCs/>
          <w:color w:val="auto"/>
          <w:szCs w:val="24"/>
          <w:highlight w:val="none"/>
        </w:rPr>
        <w:t>其中政府部门</w:t>
      </w:r>
      <w:r>
        <w:rPr>
          <w:rFonts w:hint="eastAsia" w:ascii="Times New Roman" w:hAnsi="Times New Roman"/>
          <w:bCs/>
          <w:color w:val="auto"/>
          <w:szCs w:val="24"/>
          <w:highlight w:val="none"/>
          <w:lang w:eastAsia="zh-CN"/>
        </w:rPr>
        <w:t>科技</w:t>
      </w:r>
      <w:r>
        <w:rPr>
          <w:rFonts w:ascii="Times New Roman" w:hAnsi="Times New Roman"/>
          <w:bCs/>
          <w:color w:val="auto"/>
          <w:szCs w:val="24"/>
          <w:highlight w:val="none"/>
        </w:rPr>
        <w:t>项目包括各类国家科技计划项目</w:t>
      </w:r>
      <w:r>
        <w:rPr>
          <w:rFonts w:hint="eastAsia" w:ascii="Times New Roman" w:hAnsi="Times New Roman"/>
          <w:bCs/>
          <w:color w:val="auto"/>
          <w:szCs w:val="24"/>
          <w:highlight w:val="none"/>
          <w:lang w:eastAsia="zh-CN"/>
        </w:rPr>
        <w:t>（</w:t>
      </w:r>
      <w:r>
        <w:rPr>
          <w:rFonts w:ascii="Times New Roman" w:hAnsi="Times New Roman"/>
          <w:bCs/>
          <w:color w:val="auto"/>
          <w:szCs w:val="24"/>
          <w:highlight w:val="none"/>
        </w:rPr>
        <w:t>如国家自然科学基金、国家科技重大专项、</w:t>
      </w:r>
      <w:r>
        <w:rPr>
          <w:rFonts w:ascii="Times New Roman" w:hAnsi="Times New Roman"/>
          <w:bCs/>
          <w:color w:val="auto"/>
          <w:spacing w:val="-6"/>
          <w:szCs w:val="24"/>
          <w:highlight w:val="none"/>
        </w:rPr>
        <w:t>国家重点研发计划、技术创新引导专项（基金）、基地和人才专项等</w:t>
      </w:r>
      <w:r>
        <w:rPr>
          <w:rFonts w:hint="eastAsia" w:ascii="Times New Roman" w:hAnsi="Times New Roman"/>
          <w:bCs/>
          <w:color w:val="auto"/>
          <w:spacing w:val="-6"/>
          <w:szCs w:val="24"/>
          <w:highlight w:val="none"/>
          <w:lang w:eastAsia="zh-CN"/>
        </w:rPr>
        <w:t>）</w:t>
      </w:r>
      <w:r>
        <w:rPr>
          <w:rFonts w:ascii="Times New Roman" w:hAnsi="Times New Roman"/>
          <w:bCs/>
          <w:color w:val="auto"/>
          <w:spacing w:val="-6"/>
          <w:szCs w:val="24"/>
          <w:highlight w:val="none"/>
        </w:rPr>
        <w:t>以及由各级政府部门下达的各类研究开发项目。</w:t>
      </w:r>
    </w:p>
    <w:p w14:paraId="34A33F04">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项目开展形式</w:t>
      </w:r>
      <w:r>
        <w:rPr>
          <w:rFonts w:hint="eastAsia" w:ascii="Times New Roman" w:hAnsi="Times New Roman"/>
          <w:bCs/>
          <w:color w:val="auto"/>
          <w:spacing w:val="-6"/>
          <w:szCs w:val="24"/>
          <w:highlight w:val="none"/>
        </w:rPr>
        <w:t>按重要程度选择最主要的项目开展形式并按相应的代码填写，具体的分类与代码是：10.自主完成；21.与境内研究机构合作；22.与境内高等学校合作；23.与境内其他企业或单位合作；24.与境外机构合作；31.委托境内研究机构或高等学校；32.委托境内其他企业或单位；33.委托境外机构；40.其他形式。</w:t>
      </w:r>
    </w:p>
    <w:p w14:paraId="50A3FE33">
      <w:pPr>
        <w:spacing w:line="400" w:lineRule="exact"/>
        <w:ind w:firstLine="420" w:firstLineChars="200"/>
        <w:rPr>
          <w:rFonts w:hint="eastAsia" w:ascii="Times New Roman" w:hAnsi="Times New Roman" w:eastAsia="宋体"/>
          <w:bCs/>
          <w:color w:val="auto"/>
          <w:szCs w:val="24"/>
          <w:highlight w:val="none"/>
          <w:lang w:eastAsia="zh-CN"/>
        </w:rPr>
      </w:pPr>
      <w:r>
        <w:rPr>
          <w:rFonts w:ascii="Times New Roman" w:hAnsi="Times New Roman" w:eastAsia="黑体"/>
          <w:bCs/>
          <w:color w:val="auto"/>
          <w:szCs w:val="21"/>
          <w:highlight w:val="none"/>
        </w:rPr>
        <w:t>项目当年成果形式</w:t>
      </w:r>
      <w:r>
        <w:rPr>
          <w:rFonts w:hint="eastAsia" w:ascii="Times New Roman" w:hAnsi="Times New Roman"/>
          <w:bCs/>
          <w:color w:val="auto"/>
          <w:szCs w:val="24"/>
          <w:highlight w:val="none"/>
        </w:rPr>
        <w:t>按重要程度选择项目当年最主要的成果形式并按相应的代码填写，具体的分类与代码是：01.论文、专著或研究报告；02.新产品、新工艺等推广与示范活动；03.对已有产品、工艺等进行一般性改进；04.对已有产品、工艺等实现突破性变革；05.软件著作权；06.应用软件；07.中间件或新算法；08.基础软件；09.发明专利；10.实用新型专利或外观设计专利；11.带有技术、工艺参数的图纸、技术标准、操作规范、技术论证、咨询评价；12.自主研制的新产品原型或样机、样件、样品、配方、新装置；13.自主开发的新技术或新工艺、新工法、新服务；14.其他</w:t>
      </w:r>
      <w:r>
        <w:rPr>
          <w:rFonts w:hint="eastAsia" w:ascii="Times New Roman" w:hAnsi="Times New Roman"/>
          <w:bCs/>
          <w:color w:val="auto"/>
          <w:szCs w:val="24"/>
          <w:highlight w:val="none"/>
          <w:lang w:eastAsia="zh-CN"/>
        </w:rPr>
        <w:t>。</w:t>
      </w:r>
    </w:p>
    <w:p w14:paraId="37BAD352">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项目技术经济目标</w:t>
      </w:r>
      <w:r>
        <w:rPr>
          <w:rFonts w:hint="eastAsia" w:ascii="Times New Roman" w:hAnsi="Times New Roman"/>
          <w:bCs/>
          <w:color w:val="auto"/>
          <w:szCs w:val="24"/>
          <w:highlight w:val="none"/>
        </w:rPr>
        <w:t>指项目立项时确定的技术经济目标。若一个项目有两个及以上的技术经济目标，应按重要程度选择最主要的技术经济目标填写。具体的分类与代码是：1.科学原理的探索、发现；2．技术原理的研究；3.开发全新产品；4.增加产品功能或提高性能；5.提高劳动生产率；6.减少能源消耗或提高能源使用效率；7.节约原材料；8.减少环境污染；9.其他。</w:t>
      </w:r>
    </w:p>
    <w:p w14:paraId="54D2B98C">
      <w:pPr>
        <w:spacing w:line="400" w:lineRule="exact"/>
        <w:ind w:firstLine="420" w:firstLineChars="200"/>
        <w:rPr>
          <w:rFonts w:hint="eastAsia" w:ascii="Times New Roman" w:hAnsi="Times New Roman" w:eastAsia="宋体"/>
          <w:bCs/>
          <w:color w:val="auto"/>
          <w:szCs w:val="24"/>
          <w:highlight w:val="none"/>
          <w:lang w:eastAsia="zh-CN"/>
        </w:rPr>
      </w:pPr>
      <w:r>
        <w:rPr>
          <w:rFonts w:ascii="Times New Roman" w:hAnsi="Times New Roman" w:eastAsia="黑体"/>
          <w:bCs/>
          <w:color w:val="auto"/>
          <w:szCs w:val="21"/>
          <w:highlight w:val="none"/>
        </w:rPr>
        <w:t>项目活动类型</w:t>
      </w:r>
      <w:r>
        <w:rPr>
          <w:rFonts w:ascii="Times New Roman" w:hAnsi="Times New Roman"/>
          <w:bCs/>
          <w:color w:val="auto"/>
          <w:szCs w:val="24"/>
          <w:highlight w:val="none"/>
        </w:rPr>
        <w:t>选最主要的项目(课题)活动类型并按相应的代码填写，具体的分类与代码是</w:t>
      </w:r>
      <w:r>
        <w:rPr>
          <w:rFonts w:hint="eastAsia" w:ascii="Times New Roman" w:hAnsi="Times New Roman"/>
          <w:bCs/>
          <w:color w:val="auto"/>
          <w:szCs w:val="24"/>
          <w:highlight w:val="none"/>
          <w:lang w:eastAsia="zh-CN"/>
        </w:rPr>
        <w:t>：</w:t>
      </w:r>
      <w:r>
        <w:rPr>
          <w:rFonts w:ascii="Times New Roman" w:hAnsi="Times New Roman"/>
          <w:bCs/>
          <w:color w:val="auto"/>
          <w:szCs w:val="24"/>
          <w:highlight w:val="none"/>
        </w:rPr>
        <w:t>1.基础研究；2.应用研究；3.试验发展；4.R&amp;D成果应用（试制与工程化）；5.技术咨询与技术服务</w:t>
      </w:r>
      <w:r>
        <w:rPr>
          <w:rFonts w:hint="eastAsia" w:ascii="Times New Roman" w:hAnsi="Times New Roman"/>
          <w:bCs/>
          <w:color w:val="auto"/>
          <w:szCs w:val="24"/>
          <w:highlight w:val="none"/>
          <w:lang w:eastAsia="zh-CN"/>
        </w:rPr>
        <w:t>。</w:t>
      </w:r>
    </w:p>
    <w:p w14:paraId="792CC099">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基础研究</w:t>
      </w:r>
      <w:r>
        <w:rPr>
          <w:rFonts w:ascii="Times New Roman" w:hAnsi="Times New Roman"/>
          <w:bCs/>
          <w:color w:val="auto"/>
          <w:szCs w:val="24"/>
          <w:highlight w:val="none"/>
        </w:rPr>
        <w:t>指是为了获得关于现象和可观察事实的基本原理的新知识（揭示客观事物的本质、运动规律，获得新发现、新学说）而进行的实验性或理论性研究，它不以任何专门或特定的应用或使用为目的。其成果以科学论文和科学著作为主要形式。用来反映知识的原始创新能力。</w:t>
      </w:r>
    </w:p>
    <w:p w14:paraId="7504496D">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应用研究</w:t>
      </w:r>
      <w:r>
        <w:rPr>
          <w:rFonts w:ascii="Times New Roman" w:hAnsi="Times New Roman"/>
          <w:bCs/>
          <w:color w:val="auto"/>
          <w:szCs w:val="24"/>
          <w:highlight w:val="none"/>
        </w:rPr>
        <w:t>指为获得新知识而进行的创造性研究，主要针对某一特定的目的或目标。应用研究是为了确定基础研究成果可能的用途，或是为了达到预定的目标探索应采取的新方法（原理性）或新途径。其成果形式以科学论文、专著、原理性模型或发明专利为主。用来反映对基础研究成果应用途径的探索。</w:t>
      </w:r>
    </w:p>
    <w:p w14:paraId="15A9311E">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试验发展</w:t>
      </w:r>
      <w:r>
        <w:rPr>
          <w:rFonts w:ascii="Times New Roman" w:hAnsi="Times New Roman"/>
          <w:bCs/>
          <w:color w:val="auto"/>
          <w:szCs w:val="24"/>
          <w:highlight w:val="none"/>
        </w:rPr>
        <w:t>指利用从基础研究、应用研究和实际经验所获得的现有知识，为产生新的产品、材料和装置，建立的新工艺、系统和服务，以及对已经产生和建立的上述各项作实质性的改进而进行的系统性工作。其成果形式主要是发明专利、专有技术、具有新产品基本特征的产品原型或具有新装置基本特征的原始样机等。在社会科学领域，试验发展是指把通过基础研究、应用研究获得的知识转变成可以实施的计划（包括为进行检验和评估实施示范项目）的过程。人文科学领域没有对应的试验发展活动。主要反映将科研成果转化为技术和产品的能力，是科技推动经济社会发展的物化成果。</w:t>
      </w:r>
    </w:p>
    <w:p w14:paraId="14E13FF3">
      <w:pPr>
        <w:spacing w:line="400" w:lineRule="exact"/>
        <w:ind w:firstLine="420" w:firstLineChars="200"/>
        <w:rPr>
          <w:rFonts w:ascii="Times New Roman" w:hAnsi="Times New Roman" w:eastAsia="黑体"/>
          <w:bCs/>
          <w:color w:val="auto"/>
          <w:szCs w:val="21"/>
          <w:highlight w:val="none"/>
        </w:rPr>
      </w:pPr>
      <w:r>
        <w:rPr>
          <w:rFonts w:ascii="Times New Roman" w:hAnsi="Times New Roman" w:eastAsia="黑体"/>
          <w:bCs/>
          <w:color w:val="auto"/>
          <w:szCs w:val="21"/>
          <w:highlight w:val="none"/>
        </w:rPr>
        <w:t>R&amp;D成果应用活动</w:t>
      </w:r>
      <w:r>
        <w:rPr>
          <w:rFonts w:ascii="Times New Roman" w:hAnsi="Times New Roman"/>
          <w:bCs/>
          <w:color w:val="auto"/>
          <w:highlight w:val="none"/>
        </w:rPr>
        <w:t>指为使试验发展阶段产生的新产品、材料和装置，建立的新工艺、系统和服务以及作实质性改进后的上述各项能够投入生产或在实际中运用，解决所存在的技术问题而进行的系统的活动。它不具有</w:t>
      </w:r>
      <w:r>
        <w:rPr>
          <w:rFonts w:hint="eastAsia" w:ascii="Times New Roman" w:hAnsi="Times New Roman"/>
          <w:bCs/>
          <w:color w:val="auto"/>
          <w:highlight w:val="none"/>
          <w:lang w:eastAsia="zh-CN"/>
        </w:rPr>
        <w:t>创新成分</w:t>
      </w:r>
      <w:r>
        <w:rPr>
          <w:rFonts w:ascii="Times New Roman" w:hAnsi="Times New Roman"/>
          <w:bCs/>
          <w:color w:val="auto"/>
          <w:highlight w:val="none"/>
        </w:rPr>
        <w:t>。试制与工程化是制造业R&amp;D成果应用活动。</w:t>
      </w:r>
    </w:p>
    <w:p w14:paraId="20557FC5">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试制与工程化</w:t>
      </w:r>
      <w:r>
        <w:rPr>
          <w:rFonts w:ascii="Times New Roman" w:hAnsi="Times New Roman"/>
          <w:bCs/>
          <w:color w:val="auto"/>
          <w:szCs w:val="24"/>
          <w:highlight w:val="none"/>
        </w:rPr>
        <w:t>对已有产品作技术上的微小改变或只有外观、色彩、样式等方面的变化；为了设计好新产品、工艺、系统及服务能够投入生产或使用而进行的系统化、规范化、标准化等方面的活动；试生产阶段的活动，如工装准备、小批量生产、试运转；生产过程的质量控制及材料、设备、产品的常规检验、测试。</w:t>
      </w:r>
    </w:p>
    <w:p w14:paraId="799B4595">
      <w:pPr>
        <w:widowControl/>
        <w:topLinePunct/>
        <w:spacing w:line="400" w:lineRule="exact"/>
        <w:ind w:firstLine="420"/>
        <w:jc w:val="left"/>
        <w:rPr>
          <w:rFonts w:ascii="Times New Roman" w:hAnsi="Times New Roman"/>
          <w:bCs/>
          <w:color w:val="auto"/>
          <w:szCs w:val="18"/>
          <w:highlight w:val="none"/>
        </w:rPr>
      </w:pPr>
      <w:r>
        <w:rPr>
          <w:rFonts w:ascii="Times New Roman" w:hAnsi="Times New Roman" w:eastAsia="黑体"/>
          <w:bCs/>
          <w:color w:val="auto"/>
          <w:szCs w:val="21"/>
          <w:highlight w:val="none"/>
        </w:rPr>
        <w:t>技术咨询</w:t>
      </w:r>
      <w:r>
        <w:rPr>
          <w:rFonts w:ascii="Times New Roman" w:hAnsi="Times New Roman"/>
          <w:bCs/>
          <w:color w:val="auto"/>
          <w:szCs w:val="18"/>
          <w:highlight w:val="none"/>
        </w:rPr>
        <w:t>指就特定技术项目提供可行性论证、技术预测、专题技术调查、分析评价所提供的服务。</w:t>
      </w:r>
    </w:p>
    <w:p w14:paraId="73A08DF7">
      <w:pPr>
        <w:widowControl/>
        <w:topLinePunct/>
        <w:spacing w:line="400" w:lineRule="exact"/>
        <w:ind w:firstLine="420"/>
        <w:jc w:val="left"/>
        <w:rPr>
          <w:rFonts w:ascii="Times New Roman" w:hAnsi="Times New Roman"/>
          <w:bCs/>
          <w:color w:val="auto"/>
          <w:szCs w:val="18"/>
          <w:highlight w:val="none"/>
        </w:rPr>
      </w:pPr>
      <w:r>
        <w:rPr>
          <w:rFonts w:ascii="Times New Roman" w:hAnsi="Times New Roman" w:eastAsia="黑体"/>
          <w:bCs/>
          <w:color w:val="auto"/>
          <w:szCs w:val="18"/>
          <w:highlight w:val="none"/>
        </w:rPr>
        <w:t>技术服务</w:t>
      </w:r>
      <w:r>
        <w:rPr>
          <w:rFonts w:ascii="Times New Roman" w:hAnsi="Times New Roman" w:eastAsia="宋体"/>
          <w:bCs/>
          <w:color w:val="auto"/>
          <w:szCs w:val="18"/>
          <w:highlight w:val="none"/>
        </w:rPr>
        <w:t>指</w:t>
      </w:r>
      <w:r>
        <w:rPr>
          <w:rFonts w:ascii="Times New Roman" w:hAnsi="Times New Roman"/>
          <w:bCs/>
          <w:color w:val="auto"/>
          <w:szCs w:val="18"/>
          <w:highlight w:val="none"/>
        </w:rPr>
        <w:t>为解决特定技术问题所提供的服务，包括一般性技术服务、技术中介服务和技术培训服务。</w:t>
      </w:r>
    </w:p>
    <w:p w14:paraId="12FEEA36">
      <w:pPr>
        <w:spacing w:line="400" w:lineRule="exact"/>
        <w:ind w:firstLine="420" w:firstLineChars="200"/>
        <w:rPr>
          <w:rFonts w:ascii="宋体" w:hAnsi="宋体"/>
          <w:bCs/>
          <w:color w:val="auto"/>
          <w:szCs w:val="24"/>
          <w:highlight w:val="none"/>
        </w:rPr>
      </w:pPr>
      <w:r>
        <w:rPr>
          <w:rFonts w:ascii="Times New Roman" w:hAnsi="Times New Roman" w:eastAsia="黑体"/>
          <w:bCs/>
          <w:color w:val="auto"/>
          <w:szCs w:val="21"/>
          <w:highlight w:val="none"/>
        </w:rPr>
        <w:t>项目起始日期</w:t>
      </w:r>
      <w:r>
        <w:rPr>
          <w:rFonts w:hint="default" w:ascii="Times New Roman" w:hAnsi="Times New Roman" w:eastAsia="宋体" w:cs="Times New Roman"/>
          <w:bCs/>
          <w:color w:val="auto"/>
          <w:szCs w:val="24"/>
          <w:highlight w:val="none"/>
          <w:lang w:eastAsia="zh-CN"/>
        </w:rPr>
        <w:t>指</w:t>
      </w:r>
      <w:r>
        <w:rPr>
          <w:rFonts w:hint="default" w:ascii="Times New Roman" w:hAnsi="Times New Roman" w:eastAsia="宋体" w:cs="Times New Roman"/>
          <w:bCs/>
          <w:color w:val="auto"/>
          <w:szCs w:val="24"/>
          <w:highlight w:val="none"/>
        </w:rPr>
        <w:t>填写项目</w:t>
      </w:r>
      <w:r>
        <w:rPr>
          <w:rFonts w:hint="eastAsia" w:ascii="宋体" w:hAnsi="宋体"/>
          <w:bCs/>
          <w:color w:val="auto"/>
          <w:szCs w:val="24"/>
          <w:highlight w:val="none"/>
        </w:rPr>
        <w:t>列入企业计划或签订协议后、有组织进行研究开发的年月，即开始动用人力、物力、财力投入到研究开发项目的年月。项目起始日期为6位编码，其中前4位为年份，后2位为月份（1月至9月必须前补0）。</w:t>
      </w:r>
    </w:p>
    <w:p w14:paraId="74C8EBE4">
      <w:pPr>
        <w:spacing w:line="400" w:lineRule="exact"/>
        <w:ind w:firstLine="420" w:firstLineChars="200"/>
        <w:rPr>
          <w:rFonts w:ascii="宋体" w:hAnsi="宋体"/>
          <w:bCs/>
          <w:color w:val="auto"/>
          <w:szCs w:val="24"/>
          <w:highlight w:val="none"/>
        </w:rPr>
      </w:pPr>
      <w:r>
        <w:rPr>
          <w:rFonts w:ascii="Times New Roman" w:hAnsi="Times New Roman" w:eastAsia="黑体"/>
          <w:bCs/>
          <w:color w:val="auto"/>
          <w:szCs w:val="21"/>
          <w:highlight w:val="none"/>
        </w:rPr>
        <w:t>项目完成日期</w:t>
      </w:r>
      <w:r>
        <w:rPr>
          <w:rFonts w:hint="default" w:ascii="Times New Roman" w:hAnsi="Times New Roman" w:eastAsia="宋体" w:cs="Times New Roman"/>
          <w:bCs/>
          <w:color w:val="auto"/>
          <w:szCs w:val="24"/>
          <w:highlight w:val="none"/>
          <w:lang w:eastAsia="zh-CN"/>
        </w:rPr>
        <w:t>指</w:t>
      </w:r>
      <w:r>
        <w:rPr>
          <w:rFonts w:hint="default" w:ascii="Times New Roman" w:hAnsi="Times New Roman" w:eastAsia="宋体" w:cs="Times New Roman"/>
          <w:bCs/>
          <w:color w:val="auto"/>
          <w:szCs w:val="24"/>
          <w:highlight w:val="none"/>
        </w:rPr>
        <w:t>填写项</w:t>
      </w:r>
      <w:r>
        <w:rPr>
          <w:rFonts w:hint="eastAsia" w:ascii="宋体" w:hAnsi="宋体"/>
          <w:bCs/>
          <w:color w:val="auto"/>
          <w:szCs w:val="24"/>
          <w:highlight w:val="none"/>
        </w:rPr>
        <w:t>目技术鉴定的年月，为6位编码，其中前4位为年份，后2位为月份（1月至9月必须前补0）。如项目至当年底仍在继续进行，填写预期完成时间；如项目年内以失败告终，填写000000；如项目未鉴定就投产，填写投产使用时间。</w:t>
      </w:r>
    </w:p>
    <w:p w14:paraId="1A2E46C3">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跨年项目当年所处主要进展阶段</w:t>
      </w:r>
      <w:r>
        <w:rPr>
          <w:rFonts w:hint="eastAsia" w:ascii="Times New Roman" w:hAnsi="Times New Roman"/>
          <w:bCs/>
          <w:color w:val="auto"/>
          <w:szCs w:val="24"/>
          <w:highlight w:val="none"/>
        </w:rPr>
        <w:t>按项目当年所处最主要进展阶段填写相应代码，具体的分类与代码是：1.研究阶段；2.小试阶段；3.中试阶段；4.试生产阶段。非跨年项目该指标免填。</w:t>
      </w:r>
    </w:p>
    <w:p w14:paraId="10E40748">
      <w:pPr>
        <w:autoSpaceDN w:val="0"/>
        <w:snapToGrid w:val="0"/>
        <w:spacing w:line="400" w:lineRule="exact"/>
        <w:ind w:firstLine="420" w:firstLineChars="200"/>
        <w:rPr>
          <w:rFonts w:ascii="Times New Roman" w:hAnsi="Times New Roman"/>
          <w:bCs/>
          <w:color w:val="auto"/>
          <w:szCs w:val="24"/>
          <w:highlight w:val="none"/>
        </w:rPr>
      </w:pPr>
      <w:r>
        <w:rPr>
          <w:rFonts w:hint="eastAsia" w:ascii="Times New Roman" w:hAnsi="Times New Roman" w:eastAsia="黑体"/>
          <w:bCs/>
          <w:color w:val="auto"/>
          <w:szCs w:val="21"/>
          <w:highlight w:val="none"/>
        </w:rPr>
        <w:t>项目研究开发人员</w:t>
      </w:r>
      <w:r>
        <w:rPr>
          <w:rFonts w:hint="eastAsia" w:ascii="宋体" w:hAnsi="宋体" w:cs="宋体"/>
          <w:color w:val="auto"/>
          <w:highlight w:val="none"/>
        </w:rPr>
        <w:t>指报告期内编入研究开发项目并实际从事研究开发活动的人员。该指标应与企业会计</w:t>
      </w:r>
      <w:r>
        <w:rPr>
          <w:rFonts w:ascii="宋体" w:hAnsi="宋体" w:cs="宋体"/>
          <w:color w:val="auto"/>
          <w:highlight w:val="none"/>
        </w:rPr>
        <w:t>账中</w:t>
      </w:r>
      <w:r>
        <w:rPr>
          <w:rFonts w:hint="eastAsia" w:ascii="宋体" w:hAnsi="宋体" w:cs="宋体"/>
          <w:color w:val="auto"/>
          <w:highlight w:val="none"/>
        </w:rPr>
        <w:t>有关研究开发会计科目或向税务部门</w:t>
      </w:r>
      <w:r>
        <w:rPr>
          <w:rFonts w:ascii="宋体" w:hAnsi="宋体" w:cs="宋体"/>
          <w:color w:val="auto"/>
          <w:highlight w:val="none"/>
        </w:rPr>
        <w:t>提供的</w:t>
      </w:r>
      <w:r>
        <w:rPr>
          <w:rFonts w:hint="eastAsia" w:ascii="宋体" w:hAnsi="宋体" w:cs="宋体"/>
          <w:color w:val="auto"/>
          <w:highlight w:val="none"/>
        </w:rPr>
        <w:t>研发支出辅助账中人员人工费子科目里参加</w:t>
      </w:r>
      <w:r>
        <w:rPr>
          <w:rFonts w:ascii="宋体" w:hAnsi="宋体" w:cs="宋体"/>
          <w:color w:val="auto"/>
          <w:highlight w:val="none"/>
        </w:rPr>
        <w:t>该</w:t>
      </w:r>
      <w:r>
        <w:rPr>
          <w:rFonts w:hint="eastAsia" w:ascii="宋体" w:hAnsi="宋体" w:cs="宋体"/>
          <w:color w:val="auto"/>
          <w:highlight w:val="none"/>
        </w:rPr>
        <w:t>项目人员对应。若研究开发人员同时参加两个及以上研究开发项目，可重复填报。</w:t>
      </w:r>
      <w:r>
        <w:rPr>
          <w:rFonts w:ascii="Times New Roman" w:hAnsi="Times New Roman"/>
          <w:bCs/>
          <w:color w:val="auto"/>
          <w:szCs w:val="24"/>
          <w:highlight w:val="none"/>
        </w:rPr>
        <w:t>一般不包括企业的科技管理人员。</w:t>
      </w:r>
    </w:p>
    <w:p w14:paraId="579B07ED">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项目人员实际工作时间</w:t>
      </w:r>
      <w:r>
        <w:rPr>
          <w:rFonts w:hint="eastAsia" w:ascii="Times New Roman" w:hAnsi="Times New Roman"/>
          <w:bCs/>
          <w:color w:val="auto"/>
          <w:szCs w:val="24"/>
          <w:highlight w:val="none"/>
        </w:rPr>
        <w:t>指报告期内研究开发项目中研究开发人员实际工作的时间总和，按月计算。如某研究开发项目有2个研究开发人员，他们的工作时间分别为7个月和10个月，则该项目人员实际工作时间=1×7+1×10=17（人月）。对于同时参加两个及以上项目的人员，应按项目分别计算工作时间，但每人在报告期内的实际工作时间不得超过12个月。</w:t>
      </w:r>
    </w:p>
    <w:p w14:paraId="5399B7CB">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项目经费支出</w:t>
      </w:r>
      <w:r>
        <w:rPr>
          <w:rFonts w:hint="eastAsia" w:ascii="Times New Roman" w:hAnsi="Times New Roman"/>
          <w:bCs/>
          <w:color w:val="auto"/>
          <w:szCs w:val="24"/>
          <w:highlight w:val="none"/>
        </w:rPr>
        <w:t>指报告期内用于研究开发项目的实际经费支出，包括人员人工费用、直接投入费用、折旧费用与长期待摊费用、无形资产摊销费用、设计费用、装备调试费用与试验费用、委托外部研究开发费用及其他费用。该指标应与企业会计账中有关研究开发会计科目或向税务部门提供的研发支出辅助账中项目有关费用对应。</w:t>
      </w:r>
    </w:p>
    <w:p w14:paraId="59A05F81">
      <w:pPr>
        <w:snapToGrid w:val="0"/>
        <w:spacing w:line="386"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1"/>
          <w:highlight w:val="none"/>
        </w:rPr>
        <w:t>本年项目经费支出中政府资金</w:t>
      </w:r>
      <w:r>
        <w:rPr>
          <w:rFonts w:hint="eastAsia" w:ascii="Times New Roman" w:hAnsi="Times New Roman"/>
          <w:bCs/>
          <w:color w:val="auto"/>
          <w:szCs w:val="24"/>
          <w:highlight w:val="none"/>
        </w:rPr>
        <w:t>指报告期内研究开发项目中使用的从政府有关部门获得的研究开发经费合计，包括科技专项费、科研基建费、政府专项基金和补贴等。</w:t>
      </w:r>
    </w:p>
    <w:p w14:paraId="4290BF2C">
      <w:pPr>
        <w:snapToGrid w:val="0"/>
        <w:spacing w:line="386" w:lineRule="exact"/>
        <w:ind w:firstLine="420" w:firstLineChars="200"/>
        <w:rPr>
          <w:rFonts w:ascii="Times New Roman" w:hAnsi="Times New Roman"/>
          <w:bCs/>
          <w:color w:val="auto"/>
          <w:szCs w:val="24"/>
          <w:highlight w:val="none"/>
        </w:rPr>
      </w:pPr>
      <w:r>
        <w:rPr>
          <w:rFonts w:hint="default" w:ascii="Times New Roman" w:hAnsi="Times New Roman" w:eastAsia="黑体" w:cs="Times New Roman"/>
          <w:b w:val="0"/>
          <w:bCs/>
          <w:color w:val="auto"/>
          <w:szCs w:val="21"/>
          <w:highlight w:val="none"/>
        </w:rPr>
        <w:t>国家级科技计划项目</w:t>
      </w:r>
      <w:r>
        <w:rPr>
          <w:rFonts w:hint="eastAsia"/>
          <w:color w:val="auto"/>
          <w:highlight w:val="none"/>
        </w:rPr>
        <w:t>根据国务院关于深化中央财政科技计划（专项、基金等）管理改革的方案（国发〔2014〕64号），将中央各部门管理的科技计划（专项、基金等）整合形成国家自然科学基金、国家科技重大专项、国家重点研发计划、技术创新引导专项（基金）、基地和人才专项等五类科技计划（专项、基金等）。国家级科技计划项目是指</w:t>
      </w:r>
      <w:r>
        <w:rPr>
          <w:rFonts w:hint="eastAsia"/>
          <w:color w:val="auto"/>
          <w:highlight w:val="none"/>
          <w:lang w:val="en-US" w:eastAsia="zh-CN"/>
        </w:rPr>
        <w:t>企业</w:t>
      </w:r>
      <w:r>
        <w:rPr>
          <w:rFonts w:hint="eastAsia"/>
          <w:color w:val="auto"/>
          <w:highlight w:val="none"/>
        </w:rPr>
        <w:t>申报通过并签订正式任务书的上述5类科技计划项目。</w:t>
      </w:r>
    </w:p>
    <w:p w14:paraId="6451F008">
      <w:pPr>
        <w:widowControl/>
        <w:jc w:val="center"/>
        <w:outlineLvl w:val="2"/>
        <w:rPr>
          <w:rFonts w:ascii="Times New Roman" w:hAnsi="Times New Roman"/>
          <w:b/>
          <w:color w:val="auto"/>
          <w:kern w:val="0"/>
          <w:sz w:val="28"/>
          <w:szCs w:val="28"/>
          <w:highlight w:val="none"/>
        </w:rPr>
      </w:pPr>
      <w:r>
        <w:rPr>
          <w:rFonts w:ascii="Times New Roman" w:hAnsi="Times New Roman"/>
          <w:bCs/>
          <w:color w:val="auto"/>
          <w:kern w:val="0"/>
          <w:sz w:val="28"/>
          <w:szCs w:val="28"/>
          <w:highlight w:val="none"/>
        </w:rPr>
        <w:br w:type="page"/>
      </w:r>
      <w:bookmarkStart w:id="33" w:name="_Toc121734444"/>
      <w:r>
        <w:rPr>
          <w:rFonts w:ascii="Times New Roman" w:hAnsi="Times New Roman"/>
          <w:b/>
          <w:color w:val="auto"/>
          <w:kern w:val="0"/>
          <w:sz w:val="28"/>
          <w:szCs w:val="28"/>
          <w:highlight w:val="none"/>
        </w:rPr>
        <w:t>研究开发活动及相关情况</w:t>
      </w:r>
      <w:bookmarkEnd w:id="33"/>
    </w:p>
    <w:tbl>
      <w:tblPr>
        <w:tblStyle w:val="34"/>
        <w:tblW w:w="0" w:type="auto"/>
        <w:jc w:val="center"/>
        <w:tblLayout w:type="fixed"/>
        <w:tblCellMar>
          <w:top w:w="0" w:type="dxa"/>
          <w:left w:w="108" w:type="dxa"/>
          <w:bottom w:w="0" w:type="dxa"/>
          <w:right w:w="108" w:type="dxa"/>
        </w:tblCellMar>
      </w:tblPr>
      <w:tblGrid>
        <w:gridCol w:w="3297"/>
        <w:gridCol w:w="3120"/>
        <w:gridCol w:w="987"/>
        <w:gridCol w:w="131"/>
        <w:gridCol w:w="861"/>
        <w:gridCol w:w="1084"/>
      </w:tblGrid>
      <w:tr w14:paraId="4E075711">
        <w:tblPrEx>
          <w:tblCellMar>
            <w:top w:w="0" w:type="dxa"/>
            <w:left w:w="108" w:type="dxa"/>
            <w:bottom w:w="0" w:type="dxa"/>
            <w:right w:w="108" w:type="dxa"/>
          </w:tblCellMar>
        </w:tblPrEx>
        <w:trPr>
          <w:trHeight w:val="283" w:hRule="atLeast"/>
          <w:jc w:val="center"/>
        </w:trPr>
        <w:tc>
          <w:tcPr>
            <w:tcW w:w="6417" w:type="dxa"/>
            <w:gridSpan w:val="2"/>
            <w:noWrap w:val="0"/>
            <w:vAlign w:val="center"/>
          </w:tcPr>
          <w:p w14:paraId="07809B04">
            <w:pPr>
              <w:snapToGrid w:val="0"/>
              <w:spacing w:line="240" w:lineRule="exact"/>
              <w:rPr>
                <w:rFonts w:ascii="Times New Roman" w:hAnsi="Times New Roman"/>
                <w:bCs/>
                <w:color w:val="auto"/>
                <w:sz w:val="18"/>
                <w:szCs w:val="24"/>
                <w:highlight w:val="none"/>
              </w:rPr>
            </w:pPr>
          </w:p>
        </w:tc>
        <w:tc>
          <w:tcPr>
            <w:tcW w:w="1118" w:type="dxa"/>
            <w:gridSpan w:val="2"/>
            <w:noWrap w:val="0"/>
            <w:vAlign w:val="center"/>
          </w:tcPr>
          <w:p w14:paraId="09D70503">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表号：</w:t>
            </w:r>
          </w:p>
        </w:tc>
        <w:tc>
          <w:tcPr>
            <w:tcW w:w="1945" w:type="dxa"/>
            <w:gridSpan w:val="2"/>
            <w:noWrap w:val="0"/>
            <w:vAlign w:val="center"/>
          </w:tcPr>
          <w:p w14:paraId="337BFFE7">
            <w:pPr>
              <w:spacing w:line="240" w:lineRule="exact"/>
              <w:jc w:val="right"/>
              <w:rPr>
                <w:rFonts w:ascii="Times New Roman" w:hAnsi="Times New Roman"/>
                <w:bCs/>
                <w:color w:val="auto"/>
                <w:sz w:val="18"/>
                <w:szCs w:val="24"/>
                <w:highlight w:val="none"/>
              </w:rPr>
            </w:pPr>
            <w:r>
              <w:rPr>
                <w:rFonts w:ascii="Times New Roman" w:hAnsi="Times New Roman"/>
                <w:bCs/>
                <w:color w:val="auto"/>
                <w:sz w:val="18"/>
                <w:szCs w:val="18"/>
                <w:highlight w:val="none"/>
              </w:rPr>
              <w:t>ＧＱ－００５</w:t>
            </w:r>
            <w:r>
              <w:rPr>
                <w:rFonts w:ascii="Times New Roman" w:hAnsi="Times New Roman"/>
                <w:bCs/>
                <w:color w:val="auto"/>
                <w:sz w:val="18"/>
                <w:highlight w:val="none"/>
              </w:rPr>
              <w:t>表</w:t>
            </w:r>
          </w:p>
        </w:tc>
      </w:tr>
      <w:tr w14:paraId="01663647">
        <w:tblPrEx>
          <w:tblCellMar>
            <w:top w:w="0" w:type="dxa"/>
            <w:left w:w="108" w:type="dxa"/>
            <w:bottom w:w="0" w:type="dxa"/>
            <w:right w:w="108" w:type="dxa"/>
          </w:tblCellMar>
        </w:tblPrEx>
        <w:trPr>
          <w:trHeight w:val="283" w:hRule="atLeast"/>
          <w:jc w:val="center"/>
        </w:trPr>
        <w:tc>
          <w:tcPr>
            <w:tcW w:w="6417" w:type="dxa"/>
            <w:gridSpan w:val="2"/>
            <w:noWrap w:val="0"/>
            <w:vAlign w:val="center"/>
          </w:tcPr>
          <w:p w14:paraId="5BBD34C0">
            <w:pPr>
              <w:snapToGrid w:val="0"/>
              <w:spacing w:line="240" w:lineRule="exact"/>
              <w:rPr>
                <w:rFonts w:ascii="Times New Roman" w:hAnsi="Times New Roman"/>
                <w:bCs/>
                <w:color w:val="auto"/>
                <w:sz w:val="18"/>
                <w:szCs w:val="24"/>
                <w:highlight w:val="none"/>
              </w:rPr>
            </w:pPr>
          </w:p>
        </w:tc>
        <w:tc>
          <w:tcPr>
            <w:tcW w:w="1118" w:type="dxa"/>
            <w:gridSpan w:val="2"/>
            <w:noWrap w:val="0"/>
            <w:vAlign w:val="center"/>
          </w:tcPr>
          <w:p w14:paraId="54B821AB">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制定机关：</w:t>
            </w:r>
          </w:p>
        </w:tc>
        <w:tc>
          <w:tcPr>
            <w:tcW w:w="1945" w:type="dxa"/>
            <w:gridSpan w:val="2"/>
            <w:noWrap w:val="0"/>
            <w:vAlign w:val="center"/>
          </w:tcPr>
          <w:p w14:paraId="12B264FB">
            <w:pPr>
              <w:spacing w:line="240" w:lineRule="exact"/>
              <w:jc w:val="right"/>
              <w:rPr>
                <w:rFonts w:ascii="Times New Roman" w:hAnsi="Times New Roman"/>
                <w:bCs/>
                <w:color w:val="auto"/>
                <w:sz w:val="18"/>
                <w:szCs w:val="24"/>
                <w:highlight w:val="none"/>
              </w:rPr>
            </w:pPr>
            <w:r>
              <w:rPr>
                <w:rFonts w:hint="eastAsia" w:ascii="Times New Roman" w:hAnsi="Times New Roman"/>
                <w:bCs/>
                <w:color w:val="auto"/>
                <w:sz w:val="18"/>
                <w:highlight w:val="none"/>
                <w:lang w:val="en-US" w:eastAsia="zh-CN"/>
              </w:rPr>
              <w:t>工业和信息化</w:t>
            </w:r>
            <w:r>
              <w:rPr>
                <w:rFonts w:ascii="Times New Roman" w:hAnsi="Times New Roman"/>
                <w:bCs/>
                <w:color w:val="auto"/>
                <w:sz w:val="18"/>
                <w:highlight w:val="none"/>
              </w:rPr>
              <w:t>部</w:t>
            </w:r>
          </w:p>
        </w:tc>
      </w:tr>
      <w:tr w14:paraId="65FE692C">
        <w:tblPrEx>
          <w:tblCellMar>
            <w:top w:w="0" w:type="dxa"/>
            <w:left w:w="108" w:type="dxa"/>
            <w:bottom w:w="0" w:type="dxa"/>
            <w:right w:w="108" w:type="dxa"/>
          </w:tblCellMar>
        </w:tblPrEx>
        <w:trPr>
          <w:trHeight w:val="283" w:hRule="atLeast"/>
          <w:jc w:val="center"/>
        </w:trPr>
        <w:tc>
          <w:tcPr>
            <w:tcW w:w="6417" w:type="dxa"/>
            <w:gridSpan w:val="2"/>
            <w:noWrap w:val="0"/>
            <w:vAlign w:val="center"/>
          </w:tcPr>
          <w:p w14:paraId="0B73DD2D">
            <w:pPr>
              <w:snapToGrid w:val="0"/>
              <w:spacing w:line="240" w:lineRule="exact"/>
              <w:rPr>
                <w:rFonts w:ascii="宋体" w:hAnsi="宋体"/>
                <w:bCs/>
                <w:color w:val="auto"/>
                <w:sz w:val="18"/>
                <w:szCs w:val="24"/>
                <w:highlight w:val="none"/>
              </w:rPr>
            </w:pPr>
          </w:p>
        </w:tc>
        <w:tc>
          <w:tcPr>
            <w:tcW w:w="1118" w:type="dxa"/>
            <w:gridSpan w:val="2"/>
            <w:noWrap w:val="0"/>
            <w:vAlign w:val="center"/>
          </w:tcPr>
          <w:p w14:paraId="608DFCB2">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批准机关：</w:t>
            </w:r>
          </w:p>
        </w:tc>
        <w:tc>
          <w:tcPr>
            <w:tcW w:w="1945" w:type="dxa"/>
            <w:gridSpan w:val="2"/>
            <w:noWrap w:val="0"/>
            <w:vAlign w:val="center"/>
          </w:tcPr>
          <w:p w14:paraId="492C7CA3">
            <w:pPr>
              <w:spacing w:line="240" w:lineRule="exact"/>
              <w:jc w:val="right"/>
              <w:rPr>
                <w:rFonts w:ascii="Times New Roman" w:hAnsi="Times New Roman"/>
                <w:bCs/>
                <w:color w:val="auto"/>
                <w:sz w:val="18"/>
                <w:szCs w:val="24"/>
                <w:highlight w:val="none"/>
              </w:rPr>
            </w:pPr>
            <w:r>
              <w:rPr>
                <w:rFonts w:ascii="Times New Roman" w:hAnsi="Times New Roman"/>
                <w:bCs/>
                <w:color w:val="auto"/>
                <w:sz w:val="18"/>
                <w:highlight w:val="none"/>
              </w:rPr>
              <w:t>国家统计局</w:t>
            </w:r>
          </w:p>
        </w:tc>
      </w:tr>
      <w:tr w14:paraId="036EFF1A">
        <w:tblPrEx>
          <w:tblCellMar>
            <w:top w:w="0" w:type="dxa"/>
            <w:left w:w="108" w:type="dxa"/>
            <w:bottom w:w="0" w:type="dxa"/>
            <w:right w:w="108" w:type="dxa"/>
          </w:tblCellMar>
        </w:tblPrEx>
        <w:trPr>
          <w:trHeight w:val="283" w:hRule="atLeast"/>
          <w:jc w:val="center"/>
        </w:trPr>
        <w:tc>
          <w:tcPr>
            <w:tcW w:w="6417" w:type="dxa"/>
            <w:gridSpan w:val="2"/>
            <w:noWrap w:val="0"/>
            <w:vAlign w:val="center"/>
          </w:tcPr>
          <w:p w14:paraId="17865E8A">
            <w:pPr>
              <w:snapToGrid w:val="0"/>
              <w:spacing w:line="240" w:lineRule="exact"/>
              <w:rPr>
                <w:rFonts w:ascii="宋体" w:hAnsi="宋体"/>
                <w:bCs/>
                <w:color w:val="auto"/>
                <w:sz w:val="18"/>
                <w:szCs w:val="24"/>
                <w:highlight w:val="none"/>
              </w:rPr>
            </w:pPr>
            <w:r>
              <w:rPr>
                <w:rFonts w:ascii="宋体" w:hAnsi="宋体"/>
                <w:bCs/>
                <w:color w:val="auto"/>
                <w:sz w:val="18"/>
                <w:szCs w:val="24"/>
                <w:highlight w:val="none"/>
              </w:rPr>
              <w:t>统一社会信用代码</w:t>
            </w:r>
            <w:r>
              <w:rPr>
                <w:rFonts w:ascii="宋体" w:hAnsi="宋体"/>
                <w:bCs/>
                <w:color w:val="auto"/>
                <w:sz w:val="18"/>
                <w:szCs w:val="18"/>
                <w:highlight w:val="none"/>
              </w:rPr>
              <w:t>□□□□□□□□□□□□□□□□□□</w:t>
            </w:r>
          </w:p>
        </w:tc>
        <w:tc>
          <w:tcPr>
            <w:tcW w:w="1118" w:type="dxa"/>
            <w:gridSpan w:val="2"/>
            <w:noWrap w:val="0"/>
            <w:vAlign w:val="center"/>
          </w:tcPr>
          <w:p w14:paraId="584E54D8">
            <w:pPr>
              <w:pStyle w:val="139"/>
              <w:tabs>
                <w:tab w:val="left" w:pos="730"/>
              </w:tabs>
              <w:autoSpaceDE/>
              <w:autoSpaceDN/>
              <w:adjustRightInd/>
              <w:spacing w:before="14" w:line="240" w:lineRule="exact"/>
              <w:jc w:val="both"/>
              <w:rPr>
                <w:rFonts w:ascii="Times New Roman" w:hAnsi="Times New Roman"/>
                <w:bCs/>
                <w:color w:val="auto"/>
                <w:sz w:val="18"/>
                <w:szCs w:val="18"/>
                <w:highlight w:val="none"/>
              </w:rPr>
            </w:pPr>
            <w:r>
              <w:rPr>
                <w:rFonts w:ascii="Times New Roman" w:hAnsi="Times New Roman"/>
                <w:bCs/>
                <w:color w:val="auto"/>
                <w:sz w:val="18"/>
                <w:szCs w:val="18"/>
                <w:highlight w:val="none"/>
              </w:rPr>
              <w:t>批准文号：</w:t>
            </w:r>
          </w:p>
        </w:tc>
        <w:tc>
          <w:tcPr>
            <w:tcW w:w="1945" w:type="dxa"/>
            <w:gridSpan w:val="2"/>
            <w:noWrap w:val="0"/>
            <w:vAlign w:val="center"/>
          </w:tcPr>
          <w:p w14:paraId="0CC81757">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国统制〔202</w:t>
            </w:r>
            <w:r>
              <w:rPr>
                <w:rFonts w:hint="eastAsia" w:ascii="Times New Roman" w:hAnsi="Times New Roman"/>
                <w:bCs/>
                <w:color w:val="auto"/>
                <w:sz w:val="18"/>
                <w:highlight w:val="none"/>
                <w:lang w:val="en-US" w:eastAsia="zh-CN"/>
              </w:rPr>
              <w:t>4</w:t>
            </w:r>
            <w:r>
              <w:rPr>
                <w:rFonts w:ascii="Times New Roman" w:hAnsi="Times New Roman"/>
                <w:bCs/>
                <w:color w:val="auto"/>
                <w:sz w:val="18"/>
                <w:highlight w:val="none"/>
              </w:rPr>
              <w:t>〕</w:t>
            </w:r>
            <w:r>
              <w:rPr>
                <w:rFonts w:hint="eastAsia" w:ascii="Times New Roman" w:hAnsi="Times New Roman"/>
                <w:bCs/>
                <w:color w:val="auto"/>
                <w:sz w:val="18"/>
                <w:highlight w:val="none"/>
                <w:lang w:val="en-US" w:eastAsia="zh-CN"/>
              </w:rPr>
              <w:t>187</w:t>
            </w:r>
            <w:r>
              <w:rPr>
                <w:rFonts w:ascii="Times New Roman" w:hAnsi="Times New Roman"/>
                <w:bCs/>
                <w:color w:val="auto"/>
                <w:sz w:val="18"/>
                <w:highlight w:val="none"/>
              </w:rPr>
              <w:t>号</w:t>
            </w:r>
          </w:p>
        </w:tc>
      </w:tr>
      <w:tr w14:paraId="2135EFC2">
        <w:tblPrEx>
          <w:tblCellMar>
            <w:top w:w="0" w:type="dxa"/>
            <w:left w:w="108" w:type="dxa"/>
            <w:bottom w:w="0" w:type="dxa"/>
            <w:right w:w="108" w:type="dxa"/>
          </w:tblCellMar>
        </w:tblPrEx>
        <w:trPr>
          <w:trHeight w:val="283" w:hRule="atLeast"/>
          <w:jc w:val="center"/>
        </w:trPr>
        <w:tc>
          <w:tcPr>
            <w:tcW w:w="3297" w:type="dxa"/>
            <w:noWrap w:val="0"/>
            <w:vAlign w:val="center"/>
          </w:tcPr>
          <w:p w14:paraId="4DC6ACD5">
            <w:pPr>
              <w:snapToGrid w:val="0"/>
              <w:spacing w:line="240" w:lineRule="exact"/>
              <w:rPr>
                <w:rFonts w:ascii="Times New Roman" w:hAnsi="Times New Roman"/>
                <w:bCs/>
                <w:color w:val="auto"/>
                <w:sz w:val="18"/>
                <w:szCs w:val="24"/>
                <w:highlight w:val="none"/>
              </w:rPr>
            </w:pPr>
            <w:r>
              <w:rPr>
                <w:rFonts w:ascii="Times New Roman" w:hAnsi="Times New Roman"/>
                <w:bCs/>
                <w:color w:val="auto"/>
                <w:sz w:val="18"/>
                <w:szCs w:val="18"/>
                <w:highlight w:val="none"/>
              </w:rPr>
              <w:t>企业（单位）详细名称：</w:t>
            </w:r>
          </w:p>
        </w:tc>
        <w:tc>
          <w:tcPr>
            <w:tcW w:w="3120" w:type="dxa"/>
            <w:noWrap w:val="0"/>
            <w:vAlign w:val="center"/>
          </w:tcPr>
          <w:p w14:paraId="0A4EDE19">
            <w:pPr>
              <w:snapToGrid w:val="0"/>
              <w:spacing w:line="24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２０</w:t>
            </w:r>
            <w:r>
              <w:rPr>
                <w:rFonts w:hint="eastAsia"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u w:val="single"/>
              </w:rPr>
              <w:t xml:space="preserve">   </w:t>
            </w:r>
            <w:r>
              <w:rPr>
                <w:rFonts w:ascii="Times New Roman" w:hAnsi="Times New Roman"/>
                <w:bCs/>
                <w:color w:val="auto"/>
                <w:sz w:val="18"/>
                <w:szCs w:val="18"/>
                <w:highlight w:val="none"/>
              </w:rPr>
              <w:t>年</w:t>
            </w:r>
          </w:p>
        </w:tc>
        <w:tc>
          <w:tcPr>
            <w:tcW w:w="1118" w:type="dxa"/>
            <w:gridSpan w:val="2"/>
            <w:noWrap w:val="0"/>
            <w:vAlign w:val="center"/>
          </w:tcPr>
          <w:p w14:paraId="5508306D">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有效期至：</w:t>
            </w:r>
          </w:p>
        </w:tc>
        <w:tc>
          <w:tcPr>
            <w:tcW w:w="1945" w:type="dxa"/>
            <w:gridSpan w:val="2"/>
            <w:noWrap w:val="0"/>
            <w:vAlign w:val="center"/>
          </w:tcPr>
          <w:p w14:paraId="33490960">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szCs w:val="18"/>
                <w:highlight w:val="none"/>
                <w:lang w:val="en-US" w:eastAsia="zh-CN"/>
              </w:rPr>
              <w:t>2027</w:t>
            </w:r>
            <w:r>
              <w:rPr>
                <w:rFonts w:ascii="Times New Roman" w:hAnsi="Times New Roman"/>
                <w:bCs/>
                <w:color w:val="auto"/>
                <w:sz w:val="18"/>
                <w:highlight w:val="none"/>
              </w:rPr>
              <w:t>年</w:t>
            </w:r>
            <w:r>
              <w:rPr>
                <w:rFonts w:hint="eastAsia" w:ascii="Times New Roman" w:hAnsi="Times New Roman"/>
                <w:bCs/>
                <w:color w:val="auto"/>
                <w:sz w:val="18"/>
                <w:highlight w:val="none"/>
                <w:lang w:val="en-US" w:eastAsia="zh-CN"/>
              </w:rPr>
              <w:t>12</w:t>
            </w:r>
            <w:r>
              <w:rPr>
                <w:rFonts w:ascii="Times New Roman" w:hAnsi="Times New Roman"/>
                <w:bCs/>
                <w:color w:val="auto"/>
                <w:sz w:val="18"/>
                <w:highlight w:val="none"/>
              </w:rPr>
              <w:t>月</w:t>
            </w:r>
          </w:p>
        </w:tc>
      </w:tr>
      <w:tr w14:paraId="4D3C4F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8" w:space="0"/>
              <w:bottom w:val="single" w:color="auto" w:sz="4" w:space="0"/>
              <w:right w:val="single" w:color="auto" w:sz="4" w:space="0"/>
            </w:tcBorders>
            <w:noWrap w:val="0"/>
            <w:vAlign w:val="center"/>
          </w:tcPr>
          <w:p w14:paraId="2B4F90F0">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指</w:t>
            </w: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标</w:t>
            </w: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名</w:t>
            </w: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称</w:t>
            </w:r>
          </w:p>
        </w:tc>
        <w:tc>
          <w:tcPr>
            <w:tcW w:w="987" w:type="dxa"/>
            <w:tcBorders>
              <w:top w:val="single" w:color="auto" w:sz="8" w:space="0"/>
              <w:left w:val="single" w:color="auto" w:sz="4" w:space="0"/>
              <w:bottom w:val="single" w:color="auto" w:sz="4" w:space="0"/>
              <w:right w:val="single" w:color="auto" w:sz="4" w:space="0"/>
            </w:tcBorders>
            <w:noWrap w:val="0"/>
            <w:vAlign w:val="center"/>
          </w:tcPr>
          <w:p w14:paraId="0529100A">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计量单位</w:t>
            </w:r>
          </w:p>
        </w:tc>
        <w:tc>
          <w:tcPr>
            <w:tcW w:w="992" w:type="dxa"/>
            <w:gridSpan w:val="2"/>
            <w:tcBorders>
              <w:top w:val="single" w:color="auto" w:sz="8" w:space="0"/>
              <w:left w:val="single" w:color="auto" w:sz="4" w:space="0"/>
              <w:bottom w:val="single" w:color="auto" w:sz="4" w:space="0"/>
              <w:right w:val="single" w:color="auto" w:sz="4" w:space="0"/>
            </w:tcBorders>
            <w:noWrap w:val="0"/>
            <w:vAlign w:val="center"/>
          </w:tcPr>
          <w:p w14:paraId="6D71A7E4">
            <w:pPr>
              <w:spacing w:line="280" w:lineRule="exact"/>
              <w:jc w:val="center"/>
              <w:rPr>
                <w:rFonts w:ascii="Times New Roman" w:hAnsi="Times New Roman"/>
                <w:bCs/>
                <w:color w:val="auto"/>
                <w:szCs w:val="24"/>
                <w:highlight w:val="none"/>
              </w:rPr>
            </w:pPr>
            <w:r>
              <w:rPr>
                <w:rFonts w:ascii="Times New Roman" w:hAnsi="Times New Roman"/>
                <w:bCs/>
                <w:color w:val="auto"/>
                <w:sz w:val="18"/>
                <w:szCs w:val="18"/>
                <w:highlight w:val="none"/>
              </w:rPr>
              <w:t>代</w:t>
            </w: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码</w:t>
            </w:r>
          </w:p>
        </w:tc>
        <w:tc>
          <w:tcPr>
            <w:tcW w:w="1084" w:type="dxa"/>
            <w:tcBorders>
              <w:top w:val="single" w:color="auto" w:sz="8" w:space="0"/>
              <w:left w:val="single" w:color="auto" w:sz="4" w:space="0"/>
              <w:bottom w:val="single" w:color="auto" w:sz="4" w:space="0"/>
            </w:tcBorders>
            <w:noWrap w:val="0"/>
            <w:vAlign w:val="center"/>
          </w:tcPr>
          <w:p w14:paraId="5DFBF21E">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数量</w:t>
            </w:r>
          </w:p>
        </w:tc>
      </w:tr>
      <w:tr w14:paraId="66F02FC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4827672E">
            <w:pPr>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甲</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33B55B29">
            <w:pPr>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乙</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39FEF9FB">
            <w:pPr>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丙</w:t>
            </w:r>
          </w:p>
        </w:tc>
        <w:tc>
          <w:tcPr>
            <w:tcW w:w="1084" w:type="dxa"/>
            <w:tcBorders>
              <w:top w:val="single" w:color="auto" w:sz="4" w:space="0"/>
              <w:left w:val="single" w:color="auto" w:sz="4" w:space="0"/>
              <w:bottom w:val="single" w:color="auto" w:sz="4" w:space="0"/>
            </w:tcBorders>
            <w:noWrap w:val="0"/>
            <w:vAlign w:val="center"/>
          </w:tcPr>
          <w:p w14:paraId="09DEB479">
            <w:pPr>
              <w:spacing w:line="280" w:lineRule="exact"/>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1</w:t>
            </w:r>
          </w:p>
        </w:tc>
      </w:tr>
      <w:tr w14:paraId="5A9DC64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42BF2AA3">
            <w:pPr>
              <w:widowControl/>
              <w:spacing w:line="280" w:lineRule="exact"/>
              <w:rPr>
                <w:rFonts w:ascii="Times New Roman" w:hAnsi="Times New Roman"/>
                <w:b/>
                <w:color w:val="auto"/>
                <w:kern w:val="0"/>
                <w:sz w:val="18"/>
                <w:szCs w:val="18"/>
                <w:highlight w:val="none"/>
              </w:rPr>
            </w:pPr>
            <w:r>
              <w:rPr>
                <w:rFonts w:ascii="Times New Roman" w:hAnsi="Times New Roman"/>
                <w:b/>
                <w:color w:val="auto"/>
                <w:kern w:val="0"/>
                <w:sz w:val="18"/>
                <w:szCs w:val="18"/>
                <w:highlight w:val="none"/>
              </w:rPr>
              <w:t>一、研究开发人员情况</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02CF7756">
            <w:pPr>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26601AC9">
            <w:pPr>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c>
          <w:tcPr>
            <w:tcW w:w="1084" w:type="dxa"/>
            <w:tcBorders>
              <w:top w:val="single" w:color="auto" w:sz="4" w:space="0"/>
              <w:left w:val="single" w:color="auto" w:sz="4" w:space="0"/>
              <w:bottom w:val="single" w:color="auto" w:sz="4" w:space="0"/>
            </w:tcBorders>
            <w:noWrap w:val="0"/>
            <w:vAlign w:val="center"/>
          </w:tcPr>
          <w:p w14:paraId="309DA3F8">
            <w:pPr>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r>
      <w:tr w14:paraId="406196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4B4AFBA0">
            <w:pPr>
              <w:widowControl/>
              <w:spacing w:line="280" w:lineRule="exact"/>
              <w:jc w:val="left"/>
              <w:rPr>
                <w:rFonts w:ascii="Calibri" w:hAnsi="Calibri" w:cs="Calibri"/>
                <w:bCs/>
                <w:color w:val="auto"/>
                <w:kern w:val="0"/>
                <w:sz w:val="18"/>
                <w:szCs w:val="18"/>
                <w:highlight w:val="none"/>
              </w:rPr>
            </w:pPr>
            <w:r>
              <w:rPr>
                <w:rFonts w:ascii="Calibri" w:hAnsi="Calibri" w:cs="Calibri"/>
                <w:bCs/>
                <w:color w:val="auto"/>
                <w:kern w:val="0"/>
                <w:sz w:val="18"/>
                <w:szCs w:val="18"/>
                <w:highlight w:val="none"/>
              </w:rPr>
              <w:t>研究开发人员合计</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3827CB59">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人</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3B9BD1BE">
            <w:pPr>
              <w:widowControl/>
              <w:spacing w:line="280" w:lineRule="exact"/>
              <w:ind w:left="-1" w:leftChars="-50" w:right="-105" w:rightChars="-50" w:hanging="104" w:hangingChars="58"/>
              <w:jc w:val="center"/>
              <w:rPr>
                <w:rFonts w:cs="Calibri"/>
                <w:bCs/>
                <w:color w:val="auto"/>
                <w:szCs w:val="24"/>
                <w:highlight w:val="none"/>
              </w:rPr>
            </w:pPr>
            <w:r>
              <w:rPr>
                <w:rFonts w:cs="Calibri"/>
                <w:bCs/>
                <w:color w:val="auto"/>
                <w:kern w:val="0"/>
                <w:sz w:val="18"/>
                <w:szCs w:val="18"/>
                <w:highlight w:val="none"/>
              </w:rPr>
              <w:t>QJ09</w:t>
            </w:r>
          </w:p>
        </w:tc>
        <w:tc>
          <w:tcPr>
            <w:tcW w:w="1084" w:type="dxa"/>
            <w:tcBorders>
              <w:top w:val="single" w:color="auto" w:sz="4" w:space="0"/>
              <w:left w:val="single" w:color="auto" w:sz="4" w:space="0"/>
              <w:bottom w:val="single" w:color="auto" w:sz="4" w:space="0"/>
            </w:tcBorders>
            <w:noWrap w:val="0"/>
            <w:vAlign w:val="center"/>
          </w:tcPr>
          <w:p w14:paraId="3389581F">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22841A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6D1CC340">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其中：管理和服务人员</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55331C3B">
            <w:pPr>
              <w:widowControl/>
              <w:spacing w:line="280" w:lineRule="exact"/>
              <w:ind w:left="-105" w:leftChars="-50" w:right="-105" w:rightChars="-50"/>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人</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587B2E8D">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QJ67</w:t>
            </w:r>
          </w:p>
        </w:tc>
        <w:tc>
          <w:tcPr>
            <w:tcW w:w="1084" w:type="dxa"/>
            <w:tcBorders>
              <w:top w:val="single" w:color="auto" w:sz="4" w:space="0"/>
              <w:left w:val="single" w:color="auto" w:sz="4" w:space="0"/>
              <w:bottom w:val="single" w:color="auto" w:sz="4" w:space="0"/>
              <w:right w:val="nil"/>
            </w:tcBorders>
            <w:noWrap w:val="0"/>
            <w:vAlign w:val="center"/>
          </w:tcPr>
          <w:p w14:paraId="2D33EA33">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0CF5683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24C9CFC9">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其中：全职人员</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6808358E">
            <w:pPr>
              <w:widowControl/>
              <w:spacing w:line="280" w:lineRule="exact"/>
              <w:ind w:left="-31" w:leftChars="-15" w:right="-105" w:rightChars="-50"/>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人</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795F14FA">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QJ09_1</w:t>
            </w:r>
          </w:p>
        </w:tc>
        <w:tc>
          <w:tcPr>
            <w:tcW w:w="1084" w:type="dxa"/>
            <w:tcBorders>
              <w:top w:val="single" w:color="auto" w:sz="4" w:space="0"/>
              <w:left w:val="single" w:color="auto" w:sz="4" w:space="0"/>
              <w:bottom w:val="single" w:color="auto" w:sz="4" w:space="0"/>
              <w:right w:val="nil"/>
            </w:tcBorders>
            <w:noWrap w:val="0"/>
            <w:vAlign w:val="center"/>
          </w:tcPr>
          <w:p w14:paraId="7FE83FDB">
            <w:pPr>
              <w:widowControl/>
              <w:spacing w:line="280" w:lineRule="exact"/>
              <w:ind w:left="-31" w:leftChars="-15" w:right="-105" w:rightChars="-50"/>
              <w:jc w:val="center"/>
              <w:rPr>
                <w:rFonts w:ascii="Times New Roman" w:hAnsi="Times New Roman"/>
                <w:bCs/>
                <w:color w:val="auto"/>
                <w:kern w:val="0"/>
                <w:sz w:val="18"/>
                <w:szCs w:val="18"/>
                <w:highlight w:val="none"/>
              </w:rPr>
            </w:pPr>
          </w:p>
        </w:tc>
      </w:tr>
      <w:tr w14:paraId="6124D8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7BF4024A">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其中：本科毕业及以上人员</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2DB3B538">
            <w:pPr>
              <w:widowControl/>
              <w:spacing w:line="280" w:lineRule="exact"/>
              <w:ind w:left="-31" w:leftChars="-15" w:right="-105" w:rightChars="-50"/>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人</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062578DB">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QJ09_2</w:t>
            </w:r>
          </w:p>
        </w:tc>
        <w:tc>
          <w:tcPr>
            <w:tcW w:w="1084" w:type="dxa"/>
            <w:tcBorders>
              <w:top w:val="single" w:color="auto" w:sz="4" w:space="0"/>
              <w:left w:val="single" w:color="auto" w:sz="4" w:space="0"/>
              <w:bottom w:val="single" w:color="auto" w:sz="4" w:space="0"/>
              <w:right w:val="nil"/>
            </w:tcBorders>
            <w:noWrap w:val="0"/>
            <w:vAlign w:val="center"/>
          </w:tcPr>
          <w:p w14:paraId="5FFFA518">
            <w:pPr>
              <w:widowControl/>
              <w:spacing w:line="280" w:lineRule="exact"/>
              <w:ind w:left="-31" w:leftChars="-15" w:right="-105" w:rightChars="-50"/>
              <w:jc w:val="center"/>
              <w:rPr>
                <w:rFonts w:ascii="Times New Roman" w:hAnsi="Times New Roman"/>
                <w:bCs/>
                <w:color w:val="auto"/>
                <w:kern w:val="0"/>
                <w:sz w:val="18"/>
                <w:szCs w:val="18"/>
                <w:highlight w:val="none"/>
              </w:rPr>
            </w:pPr>
          </w:p>
        </w:tc>
      </w:tr>
      <w:tr w14:paraId="3B83B1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15D60372">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其中：外聘人员</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1B897877">
            <w:pPr>
              <w:widowControl/>
              <w:spacing w:line="280" w:lineRule="exact"/>
              <w:ind w:left="-31" w:leftChars="-15" w:right="-105" w:rightChars="-50"/>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人</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2338434A">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QJ09_3</w:t>
            </w:r>
          </w:p>
        </w:tc>
        <w:tc>
          <w:tcPr>
            <w:tcW w:w="1084" w:type="dxa"/>
            <w:tcBorders>
              <w:top w:val="single" w:color="auto" w:sz="4" w:space="0"/>
              <w:left w:val="single" w:color="auto" w:sz="4" w:space="0"/>
              <w:bottom w:val="single" w:color="auto" w:sz="4" w:space="0"/>
              <w:right w:val="nil"/>
            </w:tcBorders>
            <w:noWrap w:val="0"/>
            <w:vAlign w:val="center"/>
          </w:tcPr>
          <w:p w14:paraId="218D7C63">
            <w:pPr>
              <w:widowControl/>
              <w:spacing w:line="280" w:lineRule="exact"/>
              <w:ind w:left="-31" w:leftChars="-15" w:right="-105" w:rightChars="-50"/>
              <w:jc w:val="center"/>
              <w:rPr>
                <w:rFonts w:ascii="Times New Roman" w:hAnsi="Times New Roman"/>
                <w:bCs/>
                <w:color w:val="auto"/>
                <w:kern w:val="0"/>
                <w:sz w:val="18"/>
                <w:szCs w:val="18"/>
                <w:highlight w:val="none"/>
              </w:rPr>
            </w:pPr>
          </w:p>
        </w:tc>
      </w:tr>
      <w:tr w14:paraId="6A9923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02039919">
            <w:pPr>
              <w:widowControl/>
              <w:spacing w:line="280" w:lineRule="exact"/>
              <w:rPr>
                <w:rFonts w:ascii="Calibri" w:hAnsi="Calibri" w:cs="Calibri"/>
                <w:b/>
                <w:color w:val="auto"/>
                <w:kern w:val="0"/>
                <w:sz w:val="18"/>
                <w:szCs w:val="18"/>
                <w:highlight w:val="none"/>
              </w:rPr>
            </w:pPr>
            <w:r>
              <w:rPr>
                <w:rFonts w:ascii="Calibri" w:hAnsi="Calibri" w:cs="Calibri"/>
                <w:b/>
                <w:color w:val="auto"/>
                <w:sz w:val="18"/>
                <w:szCs w:val="18"/>
                <w:highlight w:val="none"/>
              </w:rPr>
              <w:t>二</w:t>
            </w:r>
            <w:r>
              <w:rPr>
                <w:rFonts w:ascii="Calibri" w:hAnsi="Calibri" w:cs="Calibri"/>
                <w:b/>
                <w:color w:val="auto"/>
                <w:kern w:val="0"/>
                <w:sz w:val="18"/>
                <w:szCs w:val="18"/>
                <w:highlight w:val="none"/>
              </w:rPr>
              <w:t>、研究开发费用情况</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2992EB14">
            <w:pPr>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0CBF1209">
            <w:pPr>
              <w:spacing w:line="280" w:lineRule="exact"/>
              <w:jc w:val="center"/>
              <w:rPr>
                <w:rFonts w:cs="Calibri"/>
                <w:bCs/>
                <w:color w:val="auto"/>
                <w:szCs w:val="24"/>
                <w:highlight w:val="none"/>
              </w:rPr>
            </w:pPr>
            <w:r>
              <w:rPr>
                <w:rFonts w:cs="Calibri"/>
                <w:bCs/>
                <w:color w:val="auto"/>
                <w:kern w:val="0"/>
                <w:sz w:val="18"/>
                <w:szCs w:val="18"/>
                <w:highlight w:val="none"/>
              </w:rPr>
              <w:t>—</w:t>
            </w:r>
          </w:p>
        </w:tc>
        <w:tc>
          <w:tcPr>
            <w:tcW w:w="1084" w:type="dxa"/>
            <w:tcBorders>
              <w:top w:val="single" w:color="auto" w:sz="4" w:space="0"/>
              <w:left w:val="single" w:color="auto" w:sz="4" w:space="0"/>
              <w:bottom w:val="single" w:color="auto" w:sz="4" w:space="0"/>
              <w:right w:val="nil"/>
            </w:tcBorders>
            <w:noWrap w:val="0"/>
            <w:vAlign w:val="center"/>
          </w:tcPr>
          <w:p w14:paraId="7C12C67B">
            <w:pPr>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r>
      <w:tr w14:paraId="33DEA83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74689767">
            <w:pPr>
              <w:widowControl/>
              <w:spacing w:line="280" w:lineRule="exact"/>
              <w:rPr>
                <w:rFonts w:ascii="Calibri" w:hAnsi="Calibri" w:cs="Calibri"/>
                <w:bCs/>
                <w:color w:val="auto"/>
                <w:kern w:val="0"/>
                <w:sz w:val="18"/>
                <w:szCs w:val="18"/>
                <w:highlight w:val="none"/>
              </w:rPr>
            </w:pPr>
            <w:r>
              <w:rPr>
                <w:rFonts w:ascii="Calibri" w:hAnsi="Calibri" w:cs="Calibri"/>
                <w:bCs/>
                <w:color w:val="auto"/>
                <w:kern w:val="0"/>
                <w:sz w:val="18"/>
                <w:szCs w:val="18"/>
                <w:highlight w:val="none"/>
              </w:rPr>
              <w:t>研究开发费用合计</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5BAB966E">
            <w:pPr>
              <w:widowControl/>
              <w:spacing w:line="280" w:lineRule="exact"/>
              <w:ind w:left="-1" w:leftChars="-50" w:right="-105" w:rightChars="-50" w:hanging="104" w:hangingChars="58"/>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2777AAD6">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QJ20</w:t>
            </w:r>
          </w:p>
        </w:tc>
        <w:tc>
          <w:tcPr>
            <w:tcW w:w="1084" w:type="dxa"/>
            <w:tcBorders>
              <w:top w:val="single" w:color="auto" w:sz="4" w:space="0"/>
              <w:left w:val="single" w:color="auto" w:sz="4" w:space="0"/>
              <w:bottom w:val="single" w:color="auto" w:sz="4" w:space="0"/>
              <w:right w:val="nil"/>
            </w:tcBorders>
            <w:noWrap w:val="0"/>
            <w:vAlign w:val="center"/>
          </w:tcPr>
          <w:p w14:paraId="40EBAEAF">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71145AD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68C04E0D">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其中：人员人工费用</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5402A218">
            <w:pPr>
              <w:widowControl/>
              <w:spacing w:line="280" w:lineRule="exact"/>
              <w:ind w:left="-105" w:leftChars="-50" w:right="-105" w:rightChars="-50"/>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02725B0A">
            <w:pPr>
              <w:widowControl/>
              <w:spacing w:line="280" w:lineRule="exact"/>
              <w:ind w:left="-105" w:leftChars="-50" w:right="-105" w:rightChars="-50"/>
              <w:jc w:val="center"/>
              <w:rPr>
                <w:rFonts w:cs="Calibri"/>
                <w:bCs/>
                <w:color w:val="auto"/>
                <w:szCs w:val="24"/>
                <w:highlight w:val="none"/>
              </w:rPr>
            </w:pPr>
            <w:r>
              <w:rPr>
                <w:rFonts w:cs="Calibri"/>
                <w:bCs/>
                <w:color w:val="auto"/>
                <w:kern w:val="0"/>
                <w:sz w:val="18"/>
                <w:szCs w:val="18"/>
                <w:highlight w:val="none"/>
              </w:rPr>
              <w:t>QJ23_1</w:t>
            </w:r>
          </w:p>
        </w:tc>
        <w:tc>
          <w:tcPr>
            <w:tcW w:w="1084" w:type="dxa"/>
            <w:tcBorders>
              <w:top w:val="single" w:color="auto" w:sz="4" w:space="0"/>
              <w:left w:val="single" w:color="auto" w:sz="4" w:space="0"/>
              <w:bottom w:val="single" w:color="auto" w:sz="4" w:space="0"/>
              <w:right w:val="nil"/>
            </w:tcBorders>
            <w:noWrap w:val="0"/>
            <w:vAlign w:val="center"/>
          </w:tcPr>
          <w:p w14:paraId="1EBAA104">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6E81593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3CD23295">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其中：直接投入费用</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3B9DB502">
            <w:pPr>
              <w:widowControl/>
              <w:spacing w:line="280" w:lineRule="exact"/>
              <w:ind w:left="-105" w:leftChars="-50" w:right="-105" w:rightChars="-50"/>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7BAE8692">
            <w:pPr>
              <w:widowControl/>
              <w:spacing w:line="280" w:lineRule="exact"/>
              <w:ind w:left="-105" w:leftChars="-50" w:right="-105" w:rightChars="-50"/>
              <w:jc w:val="center"/>
              <w:rPr>
                <w:rFonts w:cs="Calibri"/>
                <w:bCs/>
                <w:color w:val="auto"/>
                <w:szCs w:val="24"/>
                <w:highlight w:val="none"/>
              </w:rPr>
            </w:pPr>
            <w:r>
              <w:rPr>
                <w:rFonts w:cs="Calibri"/>
                <w:bCs/>
                <w:color w:val="auto"/>
                <w:kern w:val="0"/>
                <w:sz w:val="18"/>
                <w:szCs w:val="18"/>
                <w:highlight w:val="none"/>
              </w:rPr>
              <w:t>QJ23_2</w:t>
            </w:r>
          </w:p>
        </w:tc>
        <w:tc>
          <w:tcPr>
            <w:tcW w:w="1084" w:type="dxa"/>
            <w:tcBorders>
              <w:top w:val="single" w:color="auto" w:sz="4" w:space="0"/>
              <w:left w:val="single" w:color="auto" w:sz="4" w:space="0"/>
              <w:bottom w:val="single" w:color="auto" w:sz="4" w:space="0"/>
              <w:right w:val="nil"/>
            </w:tcBorders>
            <w:noWrap w:val="0"/>
            <w:vAlign w:val="center"/>
          </w:tcPr>
          <w:p w14:paraId="71D8E4EB">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7D3BB8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76B46CE0">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其中：折旧费用与长期待摊费用</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24F88086">
            <w:pPr>
              <w:widowControl/>
              <w:spacing w:line="280" w:lineRule="exact"/>
              <w:ind w:left="-105" w:leftChars="-50" w:right="-105" w:rightChars="-50"/>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081A0625">
            <w:pPr>
              <w:widowControl/>
              <w:spacing w:line="280" w:lineRule="exact"/>
              <w:ind w:left="-105" w:leftChars="-50" w:right="-105" w:rightChars="-50"/>
              <w:jc w:val="center"/>
              <w:rPr>
                <w:rFonts w:cs="Calibri"/>
                <w:bCs/>
                <w:color w:val="auto"/>
                <w:szCs w:val="24"/>
                <w:highlight w:val="none"/>
              </w:rPr>
            </w:pPr>
            <w:r>
              <w:rPr>
                <w:rFonts w:cs="Calibri"/>
                <w:bCs/>
                <w:color w:val="auto"/>
                <w:kern w:val="0"/>
                <w:sz w:val="18"/>
                <w:szCs w:val="18"/>
                <w:highlight w:val="none"/>
              </w:rPr>
              <w:t>QJ23_3</w:t>
            </w:r>
          </w:p>
        </w:tc>
        <w:tc>
          <w:tcPr>
            <w:tcW w:w="1084" w:type="dxa"/>
            <w:tcBorders>
              <w:top w:val="single" w:color="auto" w:sz="4" w:space="0"/>
              <w:left w:val="single" w:color="auto" w:sz="4" w:space="0"/>
              <w:bottom w:val="single" w:color="auto" w:sz="4" w:space="0"/>
              <w:right w:val="nil"/>
            </w:tcBorders>
            <w:noWrap w:val="0"/>
            <w:vAlign w:val="center"/>
          </w:tcPr>
          <w:p w14:paraId="687E381B">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4414252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7486C98C">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其中：无形资产摊销费用</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10ABBEF2">
            <w:pPr>
              <w:widowControl/>
              <w:spacing w:line="280" w:lineRule="exact"/>
              <w:ind w:left="-105" w:leftChars="-50" w:right="-105" w:rightChars="-50"/>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7B60360D">
            <w:pPr>
              <w:widowControl/>
              <w:spacing w:line="280" w:lineRule="exact"/>
              <w:ind w:left="-105" w:leftChars="-50" w:right="-105" w:rightChars="-50"/>
              <w:jc w:val="center"/>
              <w:rPr>
                <w:rFonts w:cs="Calibri"/>
                <w:bCs/>
                <w:color w:val="auto"/>
                <w:szCs w:val="24"/>
                <w:highlight w:val="none"/>
              </w:rPr>
            </w:pPr>
            <w:r>
              <w:rPr>
                <w:rFonts w:cs="Calibri"/>
                <w:bCs/>
                <w:color w:val="auto"/>
                <w:kern w:val="0"/>
                <w:sz w:val="18"/>
                <w:szCs w:val="18"/>
                <w:highlight w:val="none"/>
              </w:rPr>
              <w:t>QJ23_4</w:t>
            </w:r>
          </w:p>
        </w:tc>
        <w:tc>
          <w:tcPr>
            <w:tcW w:w="1084" w:type="dxa"/>
            <w:tcBorders>
              <w:top w:val="single" w:color="auto" w:sz="4" w:space="0"/>
              <w:left w:val="single" w:color="auto" w:sz="4" w:space="0"/>
              <w:bottom w:val="single" w:color="auto" w:sz="4" w:space="0"/>
              <w:right w:val="nil"/>
            </w:tcBorders>
            <w:noWrap w:val="0"/>
            <w:vAlign w:val="center"/>
          </w:tcPr>
          <w:p w14:paraId="52A845D3">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6F9E63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465D9E04">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其中：设计费用</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2CC76CC5">
            <w:pPr>
              <w:widowControl/>
              <w:spacing w:line="280" w:lineRule="exact"/>
              <w:ind w:left="-105" w:leftChars="-50" w:right="-105" w:rightChars="-50"/>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78CBA61C">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QJ23_6</w:t>
            </w:r>
          </w:p>
        </w:tc>
        <w:tc>
          <w:tcPr>
            <w:tcW w:w="1084" w:type="dxa"/>
            <w:tcBorders>
              <w:top w:val="single" w:color="auto" w:sz="4" w:space="0"/>
              <w:left w:val="single" w:color="auto" w:sz="4" w:space="0"/>
              <w:bottom w:val="single" w:color="auto" w:sz="4" w:space="0"/>
              <w:right w:val="nil"/>
            </w:tcBorders>
            <w:noWrap w:val="0"/>
            <w:vAlign w:val="center"/>
          </w:tcPr>
          <w:p w14:paraId="02A83CC9">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623B03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1349353C">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其中：装备调试费用与试验费用</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5CEE442E">
            <w:pPr>
              <w:widowControl/>
              <w:spacing w:line="280" w:lineRule="exact"/>
              <w:ind w:left="-105" w:leftChars="-50" w:right="-105" w:rightChars="-50"/>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3BF123C0">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QJ23_7</w:t>
            </w:r>
          </w:p>
        </w:tc>
        <w:tc>
          <w:tcPr>
            <w:tcW w:w="1084" w:type="dxa"/>
            <w:tcBorders>
              <w:top w:val="single" w:color="auto" w:sz="4" w:space="0"/>
              <w:left w:val="single" w:color="auto" w:sz="4" w:space="0"/>
              <w:bottom w:val="single" w:color="auto" w:sz="4" w:space="0"/>
              <w:right w:val="nil"/>
            </w:tcBorders>
            <w:noWrap w:val="0"/>
            <w:vAlign w:val="center"/>
          </w:tcPr>
          <w:p w14:paraId="37A42FFD">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3B803F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3D3E8A4B">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其中：委托外部研究开发费用</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2271971E">
            <w:pPr>
              <w:widowControl/>
              <w:spacing w:line="280" w:lineRule="exact"/>
              <w:ind w:left="-105" w:leftChars="-50" w:right="-105" w:rightChars="-50"/>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60BD2491">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QJ33</w:t>
            </w:r>
          </w:p>
        </w:tc>
        <w:tc>
          <w:tcPr>
            <w:tcW w:w="1084" w:type="dxa"/>
            <w:tcBorders>
              <w:top w:val="single" w:color="auto" w:sz="4" w:space="0"/>
              <w:left w:val="single" w:color="auto" w:sz="4" w:space="0"/>
              <w:bottom w:val="single" w:color="auto" w:sz="4" w:space="0"/>
              <w:right w:val="nil"/>
            </w:tcBorders>
            <w:noWrap w:val="0"/>
            <w:vAlign w:val="center"/>
          </w:tcPr>
          <w:p w14:paraId="641D2301">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6F1DF4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2E17FBD1">
            <w:pPr>
              <w:widowControl/>
              <w:spacing w:line="280" w:lineRule="exact"/>
              <w:ind w:firstLine="810" w:firstLineChars="45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其中：委托境内研究机构</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6D096D1F">
            <w:pPr>
              <w:widowControl/>
              <w:spacing w:line="280" w:lineRule="exact"/>
              <w:ind w:left="-105" w:leftChars="-50" w:right="-105" w:rightChars="-50"/>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7902C28E">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QJ33_1</w:t>
            </w:r>
          </w:p>
        </w:tc>
        <w:tc>
          <w:tcPr>
            <w:tcW w:w="1084" w:type="dxa"/>
            <w:tcBorders>
              <w:top w:val="single" w:color="auto" w:sz="4" w:space="0"/>
              <w:left w:val="single" w:color="auto" w:sz="4" w:space="0"/>
              <w:bottom w:val="single" w:color="auto" w:sz="4" w:space="0"/>
              <w:right w:val="nil"/>
            </w:tcBorders>
            <w:noWrap w:val="0"/>
            <w:vAlign w:val="center"/>
          </w:tcPr>
          <w:p w14:paraId="17F86050">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151826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171D247A">
            <w:pPr>
              <w:widowControl/>
              <w:spacing w:line="280" w:lineRule="exact"/>
              <w:ind w:firstLine="1350" w:firstLineChars="75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委托境内高等学校</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5839A3BB">
            <w:pPr>
              <w:widowControl/>
              <w:spacing w:line="280" w:lineRule="exact"/>
              <w:ind w:left="-105" w:leftChars="-50" w:right="-105" w:rightChars="-50"/>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1E07AC3D">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QJ33_2</w:t>
            </w:r>
          </w:p>
        </w:tc>
        <w:tc>
          <w:tcPr>
            <w:tcW w:w="1084" w:type="dxa"/>
            <w:tcBorders>
              <w:top w:val="single" w:color="auto" w:sz="4" w:space="0"/>
              <w:left w:val="single" w:color="auto" w:sz="4" w:space="0"/>
              <w:bottom w:val="single" w:color="auto" w:sz="4" w:space="0"/>
              <w:right w:val="nil"/>
            </w:tcBorders>
            <w:noWrap w:val="0"/>
            <w:vAlign w:val="center"/>
          </w:tcPr>
          <w:p w14:paraId="0A92E2FA">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5E10CFC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01D840AC">
            <w:pPr>
              <w:widowControl/>
              <w:spacing w:line="280" w:lineRule="exact"/>
              <w:ind w:firstLine="1350" w:firstLineChars="75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委托境内企业</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27526D83">
            <w:pPr>
              <w:widowControl/>
              <w:spacing w:line="280" w:lineRule="exact"/>
              <w:ind w:left="-105" w:leftChars="-50" w:right="-105" w:rightChars="-50"/>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779DA3D3">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QJ33_4</w:t>
            </w:r>
          </w:p>
        </w:tc>
        <w:tc>
          <w:tcPr>
            <w:tcW w:w="1084" w:type="dxa"/>
            <w:tcBorders>
              <w:top w:val="single" w:color="auto" w:sz="4" w:space="0"/>
              <w:left w:val="single" w:color="auto" w:sz="4" w:space="0"/>
              <w:bottom w:val="single" w:color="auto" w:sz="4" w:space="0"/>
              <w:right w:val="nil"/>
            </w:tcBorders>
            <w:noWrap w:val="0"/>
            <w:vAlign w:val="center"/>
          </w:tcPr>
          <w:p w14:paraId="352134EC">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3E7A83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221B6069">
            <w:pPr>
              <w:widowControl/>
              <w:spacing w:line="280" w:lineRule="exact"/>
              <w:ind w:firstLine="1350" w:firstLineChars="75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委托境外机构</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3EA0379A">
            <w:pPr>
              <w:widowControl/>
              <w:spacing w:line="280" w:lineRule="exact"/>
              <w:ind w:left="-105" w:leftChars="-50" w:right="-105" w:rightChars="-50"/>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662C08E6">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QJ33_3</w:t>
            </w:r>
          </w:p>
        </w:tc>
        <w:tc>
          <w:tcPr>
            <w:tcW w:w="1084" w:type="dxa"/>
            <w:tcBorders>
              <w:top w:val="single" w:color="auto" w:sz="4" w:space="0"/>
              <w:left w:val="single" w:color="auto" w:sz="4" w:space="0"/>
              <w:bottom w:val="single" w:color="auto" w:sz="4" w:space="0"/>
              <w:right w:val="nil"/>
            </w:tcBorders>
            <w:noWrap w:val="0"/>
            <w:vAlign w:val="center"/>
          </w:tcPr>
          <w:p w14:paraId="74C41618">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5A2D8F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4ACFA606">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其中：其他费用</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76D7F3DA">
            <w:pPr>
              <w:widowControl/>
              <w:spacing w:line="280" w:lineRule="exact"/>
              <w:ind w:left="-105" w:leftChars="-50" w:right="-105" w:rightChars="-50"/>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5D02C86E">
            <w:pPr>
              <w:widowControl/>
              <w:spacing w:line="280" w:lineRule="exact"/>
              <w:ind w:left="-105" w:leftChars="-50" w:right="-105" w:rightChars="-50"/>
              <w:jc w:val="center"/>
              <w:rPr>
                <w:rFonts w:cs="Calibri"/>
                <w:bCs/>
                <w:color w:val="auto"/>
                <w:szCs w:val="24"/>
                <w:highlight w:val="none"/>
              </w:rPr>
            </w:pPr>
            <w:r>
              <w:rPr>
                <w:rFonts w:cs="Calibri"/>
                <w:bCs/>
                <w:color w:val="auto"/>
                <w:kern w:val="0"/>
                <w:sz w:val="18"/>
                <w:szCs w:val="18"/>
                <w:highlight w:val="none"/>
              </w:rPr>
              <w:t>QJ23_5</w:t>
            </w:r>
          </w:p>
        </w:tc>
        <w:tc>
          <w:tcPr>
            <w:tcW w:w="1084" w:type="dxa"/>
            <w:tcBorders>
              <w:top w:val="single" w:color="auto" w:sz="4" w:space="0"/>
              <w:left w:val="single" w:color="auto" w:sz="4" w:space="0"/>
              <w:bottom w:val="single" w:color="auto" w:sz="4" w:space="0"/>
              <w:right w:val="nil"/>
            </w:tcBorders>
            <w:noWrap w:val="0"/>
            <w:vAlign w:val="center"/>
          </w:tcPr>
          <w:p w14:paraId="63133996">
            <w:pPr>
              <w:widowControl/>
              <w:spacing w:line="280" w:lineRule="exact"/>
              <w:ind w:left="-105" w:leftChars="-50" w:right="-105" w:rightChars="-50"/>
              <w:jc w:val="center"/>
              <w:rPr>
                <w:rFonts w:ascii="Times New Roman" w:hAnsi="Times New Roman"/>
                <w:bCs/>
                <w:color w:val="auto"/>
                <w:kern w:val="0"/>
                <w:sz w:val="18"/>
                <w:szCs w:val="18"/>
                <w:highlight w:val="none"/>
              </w:rPr>
            </w:pPr>
          </w:p>
        </w:tc>
      </w:tr>
      <w:tr w14:paraId="37C049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72FA30F7">
            <w:pPr>
              <w:widowControl/>
              <w:spacing w:line="280" w:lineRule="exact"/>
              <w:rPr>
                <w:rFonts w:ascii="Calibri" w:hAnsi="Calibri" w:cs="Calibri"/>
                <w:b/>
                <w:color w:val="auto"/>
                <w:kern w:val="0"/>
                <w:sz w:val="18"/>
                <w:szCs w:val="18"/>
                <w:highlight w:val="none"/>
              </w:rPr>
            </w:pPr>
            <w:r>
              <w:rPr>
                <w:rFonts w:ascii="Calibri" w:hAnsi="Calibri" w:cs="Calibri"/>
                <w:b/>
                <w:color w:val="auto"/>
                <w:kern w:val="0"/>
                <w:sz w:val="18"/>
                <w:szCs w:val="18"/>
                <w:highlight w:val="none"/>
              </w:rPr>
              <w:t>三、研究开发资产情况</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75841DF0">
            <w:pPr>
              <w:widowControl/>
              <w:spacing w:line="280" w:lineRule="exact"/>
              <w:ind w:left="-105" w:leftChars="-50" w:right="-105" w:rightChars="-50"/>
              <w:jc w:val="center"/>
              <w:rPr>
                <w:rFonts w:ascii="Times New Roman" w:hAnsi="Times New Roman"/>
                <w:bCs/>
                <w:color w:val="auto"/>
                <w:sz w:val="18"/>
                <w:szCs w:val="18"/>
                <w:highlight w:val="none"/>
              </w:rPr>
            </w:pPr>
            <w:r>
              <w:rPr>
                <w:rFonts w:ascii="Times New Roman" w:hAnsi="Times New Roman"/>
                <w:bCs/>
                <w:color w:val="auto"/>
                <w:kern w:val="0"/>
                <w:sz w:val="18"/>
                <w:szCs w:val="18"/>
                <w:highlight w:val="none"/>
              </w:rPr>
              <w:t>—</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20DF04B2">
            <w:pPr>
              <w:widowControl/>
              <w:spacing w:line="280" w:lineRule="exact"/>
              <w:ind w:left="-105" w:leftChars="-50" w:right="-105" w:rightChars="-50"/>
              <w:jc w:val="center"/>
              <w:rPr>
                <w:rFonts w:cs="Calibri"/>
                <w:bCs/>
                <w:color w:val="auto"/>
                <w:kern w:val="0"/>
                <w:sz w:val="18"/>
                <w:szCs w:val="18"/>
                <w:highlight w:val="none"/>
              </w:rPr>
            </w:pPr>
            <w:r>
              <w:rPr>
                <w:rFonts w:cs="Calibri"/>
                <w:bCs/>
                <w:color w:val="auto"/>
                <w:kern w:val="0"/>
                <w:sz w:val="18"/>
                <w:szCs w:val="18"/>
                <w:highlight w:val="none"/>
              </w:rPr>
              <w:t>—</w:t>
            </w:r>
          </w:p>
        </w:tc>
        <w:tc>
          <w:tcPr>
            <w:tcW w:w="1084" w:type="dxa"/>
            <w:tcBorders>
              <w:top w:val="single" w:color="auto" w:sz="4" w:space="0"/>
              <w:left w:val="single" w:color="auto" w:sz="4" w:space="0"/>
              <w:bottom w:val="single" w:color="auto" w:sz="4" w:space="0"/>
              <w:right w:val="nil"/>
            </w:tcBorders>
            <w:noWrap w:val="0"/>
            <w:vAlign w:val="center"/>
          </w:tcPr>
          <w:p w14:paraId="0C5A5362">
            <w:pPr>
              <w:widowControl/>
              <w:spacing w:line="280" w:lineRule="exact"/>
              <w:ind w:left="-105" w:leftChars="-50" w:right="-105" w:rightChars="-50"/>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w:t>
            </w:r>
          </w:p>
        </w:tc>
      </w:tr>
      <w:tr w14:paraId="0D27C3A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01B50E48">
            <w:pPr>
              <w:widowControl/>
              <w:spacing w:line="280" w:lineRule="exact"/>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当年形成用于研究开发的固定资产</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50ED7011">
            <w:pPr>
              <w:widowControl/>
              <w:spacing w:line="280" w:lineRule="exact"/>
              <w:ind w:left="-1" w:leftChars="-50" w:right="-105" w:rightChars="-50" w:hanging="104" w:hangingChars="58"/>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2167B42C">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QJ250</w:t>
            </w:r>
          </w:p>
        </w:tc>
        <w:tc>
          <w:tcPr>
            <w:tcW w:w="1084" w:type="dxa"/>
            <w:tcBorders>
              <w:top w:val="single" w:color="auto" w:sz="4" w:space="0"/>
              <w:left w:val="single" w:color="auto" w:sz="4" w:space="0"/>
              <w:bottom w:val="single" w:color="auto" w:sz="4" w:space="0"/>
              <w:right w:val="nil"/>
            </w:tcBorders>
            <w:noWrap w:val="0"/>
            <w:vAlign w:val="center"/>
          </w:tcPr>
          <w:p w14:paraId="7346E62F">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1D80A0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1F93A744">
            <w:pPr>
              <w:widowControl/>
              <w:spacing w:line="280" w:lineRule="exact"/>
              <w:ind w:firstLine="360" w:firstLineChars="200"/>
              <w:rPr>
                <w:rFonts w:ascii="Calibri" w:hAnsi="Calibri" w:cs="Calibri"/>
                <w:bCs/>
                <w:color w:val="auto"/>
                <w:kern w:val="0"/>
                <w:sz w:val="18"/>
                <w:szCs w:val="18"/>
                <w:highlight w:val="none"/>
              </w:rPr>
            </w:pPr>
            <w:r>
              <w:rPr>
                <w:rFonts w:ascii="Calibri" w:hAnsi="Calibri" w:cs="Calibri"/>
                <w:bCs/>
                <w:color w:val="auto"/>
                <w:kern w:val="0"/>
                <w:sz w:val="18"/>
                <w:szCs w:val="18"/>
                <w:highlight w:val="none"/>
              </w:rPr>
              <w:t>其中：仪器和设备</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5F7346D4">
            <w:pPr>
              <w:widowControl/>
              <w:spacing w:line="280" w:lineRule="exact"/>
              <w:ind w:left="-1" w:leftChars="-50" w:right="-105" w:rightChars="-50" w:hanging="104" w:hangingChars="58"/>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3FEBC1AA">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QJ251</w:t>
            </w:r>
          </w:p>
        </w:tc>
        <w:tc>
          <w:tcPr>
            <w:tcW w:w="1084" w:type="dxa"/>
            <w:tcBorders>
              <w:top w:val="single" w:color="auto" w:sz="4" w:space="0"/>
              <w:left w:val="single" w:color="auto" w:sz="4" w:space="0"/>
              <w:bottom w:val="single" w:color="auto" w:sz="4" w:space="0"/>
              <w:right w:val="nil"/>
            </w:tcBorders>
            <w:noWrap w:val="0"/>
            <w:vAlign w:val="center"/>
          </w:tcPr>
          <w:p w14:paraId="143AECA4">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08E6BB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0379C8C9">
            <w:pPr>
              <w:widowControl/>
              <w:spacing w:line="280" w:lineRule="exact"/>
              <w:rPr>
                <w:rFonts w:ascii="Calibri" w:hAnsi="Calibri" w:cs="Calibri"/>
                <w:b/>
                <w:color w:val="auto"/>
                <w:kern w:val="0"/>
                <w:sz w:val="18"/>
                <w:szCs w:val="18"/>
                <w:highlight w:val="none"/>
              </w:rPr>
            </w:pPr>
            <w:r>
              <w:rPr>
                <w:rFonts w:ascii="Calibri" w:hAnsi="Calibri" w:cs="Calibri"/>
                <w:b/>
                <w:color w:val="auto"/>
                <w:kern w:val="0"/>
                <w:sz w:val="18"/>
                <w:szCs w:val="18"/>
                <w:highlight w:val="none"/>
              </w:rPr>
              <w:t>四、研究开发支出资金来源情况</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2A2E6222">
            <w:pPr>
              <w:spacing w:line="280" w:lineRule="exact"/>
              <w:jc w:val="center"/>
              <w:rPr>
                <w:rFonts w:ascii="Times New Roman" w:hAnsi="Times New Roman"/>
                <w:bCs/>
                <w:color w:val="auto"/>
                <w:sz w:val="18"/>
                <w:szCs w:val="18"/>
                <w:highlight w:val="none"/>
              </w:rPr>
            </w:pPr>
            <w:r>
              <w:rPr>
                <w:rFonts w:ascii="Times New Roman" w:hAnsi="Times New Roman"/>
                <w:bCs/>
                <w:color w:val="auto"/>
                <w:kern w:val="0"/>
                <w:sz w:val="18"/>
                <w:szCs w:val="18"/>
                <w:highlight w:val="none"/>
              </w:rPr>
              <w:t>—</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7966860F">
            <w:pPr>
              <w:spacing w:line="280" w:lineRule="exact"/>
              <w:jc w:val="center"/>
              <w:rPr>
                <w:rFonts w:cs="Calibri"/>
                <w:bCs/>
                <w:color w:val="auto"/>
                <w:sz w:val="18"/>
                <w:szCs w:val="18"/>
                <w:highlight w:val="none"/>
              </w:rPr>
            </w:pPr>
            <w:r>
              <w:rPr>
                <w:rFonts w:cs="Calibri"/>
                <w:bCs/>
                <w:color w:val="auto"/>
                <w:kern w:val="0"/>
                <w:sz w:val="18"/>
                <w:szCs w:val="18"/>
                <w:highlight w:val="none"/>
              </w:rPr>
              <w:t>—</w:t>
            </w:r>
          </w:p>
        </w:tc>
        <w:tc>
          <w:tcPr>
            <w:tcW w:w="1084" w:type="dxa"/>
            <w:tcBorders>
              <w:top w:val="single" w:color="auto" w:sz="4" w:space="0"/>
              <w:left w:val="single" w:color="auto" w:sz="4" w:space="0"/>
              <w:bottom w:val="single" w:color="auto" w:sz="4" w:space="0"/>
              <w:right w:val="nil"/>
            </w:tcBorders>
            <w:noWrap w:val="0"/>
            <w:vAlign w:val="center"/>
          </w:tcPr>
          <w:p w14:paraId="1858460D">
            <w:pPr>
              <w:spacing w:line="280" w:lineRule="exact"/>
              <w:jc w:val="center"/>
              <w:rPr>
                <w:rFonts w:ascii="Times New Roman" w:hAnsi="Times New Roman"/>
                <w:bCs/>
                <w:color w:val="auto"/>
                <w:sz w:val="18"/>
                <w:szCs w:val="18"/>
                <w:highlight w:val="none"/>
              </w:rPr>
            </w:pPr>
            <w:r>
              <w:rPr>
                <w:rFonts w:ascii="Times New Roman" w:hAnsi="Times New Roman"/>
                <w:bCs/>
                <w:color w:val="auto"/>
                <w:kern w:val="0"/>
                <w:sz w:val="18"/>
                <w:szCs w:val="18"/>
                <w:highlight w:val="none"/>
              </w:rPr>
              <w:t>—</w:t>
            </w:r>
          </w:p>
        </w:tc>
      </w:tr>
      <w:tr w14:paraId="63431A6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16FE79F9">
            <w:pPr>
              <w:widowControl/>
              <w:spacing w:line="280" w:lineRule="exact"/>
              <w:rPr>
                <w:rFonts w:ascii="Calibri" w:hAnsi="Calibri" w:cs="Calibri"/>
                <w:bCs/>
                <w:color w:val="auto"/>
                <w:kern w:val="0"/>
                <w:sz w:val="18"/>
                <w:szCs w:val="18"/>
                <w:highlight w:val="none"/>
              </w:rPr>
            </w:pPr>
            <w:r>
              <w:rPr>
                <w:rFonts w:ascii="Calibri" w:hAnsi="Calibri" w:cs="Calibri"/>
                <w:bCs/>
                <w:color w:val="auto"/>
                <w:kern w:val="0"/>
                <w:sz w:val="18"/>
                <w:szCs w:val="18"/>
                <w:highlight w:val="none"/>
              </w:rPr>
              <w:t>来自企业自筹</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00B8E49D">
            <w:pPr>
              <w:spacing w:line="280" w:lineRule="exact"/>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5D4FB0FB">
            <w:pPr>
              <w:spacing w:line="280" w:lineRule="exact"/>
              <w:jc w:val="center"/>
              <w:rPr>
                <w:rFonts w:cs="Calibri"/>
                <w:bCs/>
                <w:color w:val="auto"/>
                <w:kern w:val="0"/>
                <w:sz w:val="18"/>
                <w:szCs w:val="18"/>
                <w:highlight w:val="none"/>
              </w:rPr>
            </w:pPr>
            <w:r>
              <w:rPr>
                <w:rFonts w:cs="Calibri"/>
                <w:bCs/>
                <w:color w:val="auto"/>
                <w:kern w:val="0"/>
                <w:sz w:val="18"/>
                <w:szCs w:val="18"/>
                <w:highlight w:val="none"/>
              </w:rPr>
              <w:t>QJ256</w:t>
            </w:r>
          </w:p>
        </w:tc>
        <w:tc>
          <w:tcPr>
            <w:tcW w:w="1084" w:type="dxa"/>
            <w:tcBorders>
              <w:top w:val="single" w:color="auto" w:sz="4" w:space="0"/>
              <w:left w:val="single" w:color="auto" w:sz="4" w:space="0"/>
              <w:bottom w:val="single" w:color="auto" w:sz="4" w:space="0"/>
              <w:right w:val="nil"/>
            </w:tcBorders>
            <w:noWrap w:val="0"/>
            <w:vAlign w:val="center"/>
          </w:tcPr>
          <w:p w14:paraId="0FE722B6">
            <w:pPr>
              <w:spacing w:line="280" w:lineRule="exact"/>
              <w:jc w:val="center"/>
              <w:rPr>
                <w:rFonts w:ascii="Times New Roman" w:hAnsi="Times New Roman"/>
                <w:bCs/>
                <w:color w:val="auto"/>
                <w:kern w:val="0"/>
                <w:sz w:val="18"/>
                <w:szCs w:val="18"/>
                <w:highlight w:val="none"/>
              </w:rPr>
            </w:pPr>
          </w:p>
        </w:tc>
      </w:tr>
      <w:tr w14:paraId="1DDFBB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4" w:space="0"/>
              <w:right w:val="single" w:color="auto" w:sz="4" w:space="0"/>
            </w:tcBorders>
            <w:noWrap w:val="0"/>
            <w:vAlign w:val="center"/>
          </w:tcPr>
          <w:p w14:paraId="5224063B">
            <w:pPr>
              <w:widowControl/>
              <w:spacing w:line="280" w:lineRule="exact"/>
              <w:rPr>
                <w:rFonts w:ascii="Calibri" w:hAnsi="Calibri" w:cs="Calibri"/>
                <w:bCs/>
                <w:color w:val="auto"/>
                <w:kern w:val="0"/>
                <w:sz w:val="18"/>
                <w:szCs w:val="18"/>
                <w:highlight w:val="none"/>
              </w:rPr>
            </w:pPr>
            <w:r>
              <w:rPr>
                <w:rFonts w:ascii="Calibri" w:hAnsi="Calibri" w:cs="Calibri"/>
                <w:bCs/>
                <w:color w:val="auto"/>
                <w:kern w:val="0"/>
                <w:sz w:val="18"/>
                <w:szCs w:val="18"/>
                <w:highlight w:val="none"/>
              </w:rPr>
              <w:t>来自政府部门</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09ADFE97">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14:paraId="6A2C55B9">
            <w:pPr>
              <w:spacing w:line="280" w:lineRule="exact"/>
              <w:jc w:val="center"/>
              <w:rPr>
                <w:rFonts w:cs="Calibri"/>
                <w:bCs/>
                <w:color w:val="auto"/>
                <w:sz w:val="18"/>
                <w:szCs w:val="18"/>
                <w:highlight w:val="none"/>
              </w:rPr>
            </w:pPr>
            <w:r>
              <w:rPr>
                <w:rFonts w:cs="Calibri"/>
                <w:bCs/>
                <w:color w:val="auto"/>
                <w:kern w:val="0"/>
                <w:sz w:val="18"/>
                <w:szCs w:val="18"/>
                <w:highlight w:val="none"/>
              </w:rPr>
              <w:t>QJ252</w:t>
            </w:r>
          </w:p>
        </w:tc>
        <w:tc>
          <w:tcPr>
            <w:tcW w:w="1084" w:type="dxa"/>
            <w:tcBorders>
              <w:top w:val="single" w:color="auto" w:sz="4" w:space="0"/>
              <w:left w:val="single" w:color="auto" w:sz="4" w:space="0"/>
              <w:bottom w:val="single" w:color="auto" w:sz="4" w:space="0"/>
              <w:right w:val="nil"/>
            </w:tcBorders>
            <w:noWrap w:val="0"/>
            <w:vAlign w:val="center"/>
          </w:tcPr>
          <w:p w14:paraId="7636A930">
            <w:pPr>
              <w:spacing w:line="280" w:lineRule="exact"/>
              <w:jc w:val="center"/>
              <w:rPr>
                <w:rFonts w:ascii="Times New Roman" w:hAnsi="Times New Roman"/>
                <w:bCs/>
                <w:color w:val="auto"/>
                <w:sz w:val="18"/>
                <w:szCs w:val="18"/>
                <w:highlight w:val="none"/>
              </w:rPr>
            </w:pPr>
          </w:p>
        </w:tc>
      </w:tr>
      <w:tr w14:paraId="574ACB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417" w:type="dxa"/>
            <w:gridSpan w:val="2"/>
            <w:tcBorders>
              <w:top w:val="single" w:color="auto" w:sz="4" w:space="0"/>
              <w:bottom w:val="single" w:color="auto" w:sz="8" w:space="0"/>
              <w:right w:val="single" w:color="auto" w:sz="4" w:space="0"/>
            </w:tcBorders>
            <w:noWrap w:val="0"/>
            <w:vAlign w:val="center"/>
          </w:tcPr>
          <w:p w14:paraId="4B5F595B">
            <w:pPr>
              <w:widowControl/>
              <w:spacing w:line="280" w:lineRule="exact"/>
              <w:rPr>
                <w:rFonts w:ascii="Calibri" w:hAnsi="Calibri" w:cs="Calibri"/>
                <w:bCs/>
                <w:color w:val="auto"/>
                <w:kern w:val="0"/>
                <w:sz w:val="18"/>
                <w:szCs w:val="18"/>
                <w:highlight w:val="none"/>
              </w:rPr>
            </w:pPr>
            <w:r>
              <w:rPr>
                <w:rFonts w:ascii="Calibri" w:hAnsi="Calibri" w:cs="Calibri"/>
                <w:bCs/>
                <w:color w:val="auto"/>
                <w:sz w:val="18"/>
                <w:szCs w:val="18"/>
                <w:highlight w:val="none"/>
              </w:rPr>
              <w:t>来自银行贷款</w:t>
            </w:r>
          </w:p>
        </w:tc>
        <w:tc>
          <w:tcPr>
            <w:tcW w:w="987" w:type="dxa"/>
            <w:tcBorders>
              <w:top w:val="single" w:color="auto" w:sz="4" w:space="0"/>
              <w:left w:val="single" w:color="auto" w:sz="4" w:space="0"/>
              <w:bottom w:val="single" w:color="auto" w:sz="8" w:space="0"/>
              <w:right w:val="single" w:color="auto" w:sz="4" w:space="0"/>
            </w:tcBorders>
            <w:noWrap w:val="0"/>
            <w:vAlign w:val="top"/>
          </w:tcPr>
          <w:p w14:paraId="5FF408ED">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992" w:type="dxa"/>
            <w:gridSpan w:val="2"/>
            <w:tcBorders>
              <w:top w:val="single" w:color="auto" w:sz="4" w:space="0"/>
              <w:left w:val="single" w:color="auto" w:sz="4" w:space="0"/>
              <w:bottom w:val="single" w:color="auto" w:sz="8" w:space="0"/>
              <w:right w:val="single" w:color="auto" w:sz="4" w:space="0"/>
            </w:tcBorders>
            <w:noWrap w:val="0"/>
            <w:vAlign w:val="top"/>
          </w:tcPr>
          <w:p w14:paraId="220A035B">
            <w:pPr>
              <w:spacing w:line="280" w:lineRule="exact"/>
              <w:jc w:val="center"/>
              <w:rPr>
                <w:rFonts w:cs="Calibri"/>
                <w:bCs/>
                <w:color w:val="auto"/>
                <w:kern w:val="0"/>
                <w:sz w:val="18"/>
                <w:szCs w:val="18"/>
                <w:highlight w:val="none"/>
              </w:rPr>
            </w:pPr>
            <w:r>
              <w:rPr>
                <w:rFonts w:cs="Calibri"/>
                <w:bCs/>
                <w:color w:val="auto"/>
                <w:kern w:val="0"/>
                <w:sz w:val="18"/>
                <w:szCs w:val="18"/>
                <w:highlight w:val="none"/>
              </w:rPr>
              <w:t>QJ253</w:t>
            </w:r>
          </w:p>
        </w:tc>
        <w:tc>
          <w:tcPr>
            <w:tcW w:w="1084" w:type="dxa"/>
            <w:tcBorders>
              <w:top w:val="single" w:color="auto" w:sz="4" w:space="0"/>
              <w:left w:val="single" w:color="auto" w:sz="4" w:space="0"/>
              <w:bottom w:val="single" w:color="auto" w:sz="8" w:space="0"/>
              <w:right w:val="nil"/>
            </w:tcBorders>
            <w:noWrap w:val="0"/>
            <w:vAlign w:val="center"/>
          </w:tcPr>
          <w:p w14:paraId="0765F508">
            <w:pPr>
              <w:spacing w:line="280" w:lineRule="exact"/>
              <w:jc w:val="center"/>
              <w:rPr>
                <w:rFonts w:ascii="Times New Roman" w:hAnsi="Times New Roman"/>
                <w:bCs/>
                <w:color w:val="auto"/>
                <w:sz w:val="18"/>
                <w:szCs w:val="18"/>
                <w:highlight w:val="none"/>
              </w:rPr>
            </w:pPr>
          </w:p>
        </w:tc>
      </w:tr>
    </w:tbl>
    <w:p w14:paraId="0CE5C3E6">
      <w:pPr>
        <w:pStyle w:val="9"/>
        <w:spacing w:after="0"/>
        <w:rPr>
          <w:rFonts w:ascii="Times New Roman" w:hAnsi="Times New Roman"/>
          <w:bCs/>
          <w:color w:val="auto"/>
          <w:szCs w:val="24"/>
          <w:highlight w:val="none"/>
        </w:rPr>
      </w:pPr>
      <w:r>
        <w:rPr>
          <w:rFonts w:ascii="Times New Roman" w:hAnsi="Times New Roman"/>
          <w:bCs/>
          <w:color w:val="auto"/>
          <w:highlight w:val="none"/>
        </w:rPr>
        <w:br w:type="page"/>
      </w:r>
      <w:r>
        <w:rPr>
          <w:rFonts w:ascii="Times New Roman" w:hAnsi="Times New Roman" w:eastAsia="宋体" w:cs="Calibri"/>
          <w:bCs/>
          <w:color w:val="auto"/>
          <w:kern w:val="0"/>
          <w:sz w:val="18"/>
          <w:szCs w:val="18"/>
          <w:highlight w:val="none"/>
        </w:rPr>
        <w:t>续表一：</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332"/>
        <w:gridCol w:w="996"/>
        <w:gridCol w:w="982"/>
        <w:gridCol w:w="1077"/>
      </w:tblGrid>
      <w:tr w14:paraId="6A14DB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8" w:space="0"/>
              <w:bottom w:val="single" w:color="auto" w:sz="4" w:space="0"/>
              <w:right w:val="single" w:color="auto" w:sz="4" w:space="0"/>
            </w:tcBorders>
            <w:noWrap w:val="0"/>
            <w:vAlign w:val="center"/>
          </w:tcPr>
          <w:p w14:paraId="3D14B621">
            <w:pPr>
              <w:widowControl/>
              <w:spacing w:line="280" w:lineRule="exact"/>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指</w:t>
            </w: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标</w:t>
            </w: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名</w:t>
            </w: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称</w:t>
            </w:r>
          </w:p>
        </w:tc>
        <w:tc>
          <w:tcPr>
            <w:tcW w:w="996" w:type="dxa"/>
            <w:tcBorders>
              <w:top w:val="single" w:color="auto" w:sz="8" w:space="0"/>
              <w:left w:val="single" w:color="auto" w:sz="4" w:space="0"/>
              <w:bottom w:val="single" w:color="auto" w:sz="4" w:space="0"/>
              <w:right w:val="single" w:color="auto" w:sz="4" w:space="0"/>
            </w:tcBorders>
            <w:noWrap w:val="0"/>
            <w:vAlign w:val="center"/>
          </w:tcPr>
          <w:p w14:paraId="5DE0E750">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计量单位</w:t>
            </w:r>
          </w:p>
        </w:tc>
        <w:tc>
          <w:tcPr>
            <w:tcW w:w="982" w:type="dxa"/>
            <w:tcBorders>
              <w:top w:val="single" w:color="auto" w:sz="8" w:space="0"/>
              <w:left w:val="single" w:color="auto" w:sz="4" w:space="0"/>
              <w:bottom w:val="single" w:color="auto" w:sz="4" w:space="0"/>
              <w:right w:val="single" w:color="auto" w:sz="4" w:space="0"/>
            </w:tcBorders>
            <w:noWrap w:val="0"/>
            <w:vAlign w:val="center"/>
          </w:tcPr>
          <w:p w14:paraId="2A3FBEBA">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代</w:t>
            </w: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码</w:t>
            </w:r>
          </w:p>
        </w:tc>
        <w:tc>
          <w:tcPr>
            <w:tcW w:w="1077" w:type="dxa"/>
            <w:tcBorders>
              <w:top w:val="single" w:color="auto" w:sz="8" w:space="0"/>
              <w:left w:val="single" w:color="auto" w:sz="4" w:space="0"/>
              <w:bottom w:val="single" w:color="auto" w:sz="4" w:space="0"/>
              <w:right w:val="nil"/>
            </w:tcBorders>
            <w:noWrap w:val="0"/>
            <w:vAlign w:val="center"/>
          </w:tcPr>
          <w:p w14:paraId="1AD32F29">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r>
              <w:rPr>
                <w:rFonts w:ascii="Times New Roman" w:hAnsi="Times New Roman"/>
                <w:bCs/>
                <w:color w:val="auto"/>
                <w:sz w:val="18"/>
                <w:szCs w:val="18"/>
                <w:highlight w:val="none"/>
              </w:rPr>
              <w:t>数量</w:t>
            </w:r>
          </w:p>
        </w:tc>
      </w:tr>
      <w:tr w14:paraId="21E636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D26A9D5">
            <w:pPr>
              <w:widowControl/>
              <w:spacing w:line="280" w:lineRule="exact"/>
              <w:jc w:val="center"/>
              <w:rPr>
                <w:rFonts w:cs="Calibri"/>
                <w:bCs/>
                <w:color w:val="auto"/>
                <w:kern w:val="0"/>
                <w:sz w:val="18"/>
                <w:szCs w:val="18"/>
                <w:highlight w:val="none"/>
              </w:rPr>
            </w:pPr>
            <w:r>
              <w:rPr>
                <w:rFonts w:cs="Calibri"/>
                <w:bCs/>
                <w:color w:val="auto"/>
                <w:kern w:val="0"/>
                <w:sz w:val="18"/>
                <w:szCs w:val="18"/>
                <w:highlight w:val="none"/>
              </w:rPr>
              <w:t>甲</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45489A54">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乙</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4EC3E726">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丙</w:t>
            </w:r>
          </w:p>
        </w:tc>
        <w:tc>
          <w:tcPr>
            <w:tcW w:w="1077" w:type="dxa"/>
            <w:tcBorders>
              <w:top w:val="single" w:color="auto" w:sz="4" w:space="0"/>
              <w:left w:val="single" w:color="auto" w:sz="4" w:space="0"/>
              <w:bottom w:val="single" w:color="auto" w:sz="4" w:space="0"/>
              <w:right w:val="nil"/>
            </w:tcBorders>
            <w:noWrap w:val="0"/>
            <w:vAlign w:val="center"/>
          </w:tcPr>
          <w:p w14:paraId="55394474">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1</w:t>
            </w:r>
          </w:p>
        </w:tc>
      </w:tr>
      <w:tr w14:paraId="5A7E0DC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5520B6C1">
            <w:pPr>
              <w:widowControl/>
              <w:spacing w:line="280" w:lineRule="exact"/>
              <w:ind w:firstLine="0" w:firstLineChars="0"/>
              <w:rPr>
                <w:rFonts w:ascii="Calibri" w:hAnsi="Calibri" w:cs="Calibri"/>
                <w:bCs/>
                <w:color w:val="auto"/>
                <w:kern w:val="2"/>
                <w:sz w:val="18"/>
                <w:szCs w:val="18"/>
                <w:highlight w:val="none"/>
                <w:lang w:val="en-US" w:eastAsia="zh-CN" w:bidi="ar-SA"/>
              </w:rPr>
            </w:pPr>
            <w:r>
              <w:rPr>
                <w:rFonts w:ascii="Calibri" w:hAnsi="Calibri" w:cs="Calibri"/>
                <w:bCs/>
                <w:color w:val="auto"/>
                <w:sz w:val="18"/>
                <w:szCs w:val="18"/>
                <w:highlight w:val="none"/>
              </w:rPr>
              <w:t>来自风险投资</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653E18F9">
            <w:pPr>
              <w:widowControl/>
              <w:spacing w:line="280" w:lineRule="exact"/>
              <w:ind w:left="0" w:leftChars="0" w:right="0" w:rightChars="0" w:firstLine="0" w:firstLineChars="0"/>
              <w:jc w:val="center"/>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千元</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0E12A6E7">
            <w:pPr>
              <w:widowControl/>
              <w:spacing w:line="280" w:lineRule="exact"/>
              <w:ind w:left="0" w:leftChars="0" w:right="0" w:rightChars="0" w:firstLine="0" w:firstLineChars="0"/>
              <w:jc w:val="center"/>
              <w:rPr>
                <w:rFonts w:cs="Calibri"/>
                <w:bCs/>
                <w:color w:val="auto"/>
                <w:kern w:val="0"/>
                <w:sz w:val="18"/>
                <w:szCs w:val="18"/>
                <w:highlight w:val="none"/>
                <w:lang w:val="en-US" w:eastAsia="zh-CN" w:bidi="ar-SA"/>
              </w:rPr>
            </w:pPr>
            <w:r>
              <w:rPr>
                <w:rFonts w:cs="Calibri"/>
                <w:bCs/>
                <w:color w:val="auto"/>
                <w:kern w:val="0"/>
                <w:sz w:val="18"/>
                <w:szCs w:val="18"/>
                <w:highlight w:val="none"/>
              </w:rPr>
              <w:t>QJ254</w:t>
            </w:r>
          </w:p>
        </w:tc>
        <w:tc>
          <w:tcPr>
            <w:tcW w:w="1077" w:type="dxa"/>
            <w:tcBorders>
              <w:top w:val="single" w:color="auto" w:sz="4" w:space="0"/>
              <w:left w:val="single" w:color="auto" w:sz="4" w:space="0"/>
              <w:bottom w:val="single" w:color="auto" w:sz="4" w:space="0"/>
              <w:right w:val="nil"/>
            </w:tcBorders>
            <w:noWrap w:val="0"/>
            <w:vAlign w:val="center"/>
          </w:tcPr>
          <w:p w14:paraId="6C9B23A4">
            <w:pPr>
              <w:widowControl/>
              <w:spacing w:line="280" w:lineRule="exact"/>
              <w:ind w:left="0" w:leftChars="0" w:right="0" w:rightChars="0" w:firstLine="0" w:firstLineChars="0"/>
              <w:jc w:val="center"/>
              <w:rPr>
                <w:rFonts w:ascii="Times New Roman" w:hAnsi="Times New Roman"/>
                <w:bCs/>
                <w:color w:val="auto"/>
                <w:kern w:val="2"/>
                <w:sz w:val="18"/>
                <w:szCs w:val="18"/>
                <w:highlight w:val="none"/>
                <w:lang w:val="en-US" w:eastAsia="zh-CN" w:bidi="ar-SA"/>
              </w:rPr>
            </w:pPr>
          </w:p>
        </w:tc>
      </w:tr>
      <w:tr w14:paraId="6468EE0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C1A733E">
            <w:pPr>
              <w:widowControl/>
              <w:spacing w:line="280" w:lineRule="exact"/>
              <w:rPr>
                <w:rFonts w:ascii="Calibri" w:hAnsi="Calibri" w:cs="Calibri"/>
                <w:bCs/>
                <w:color w:val="auto"/>
                <w:kern w:val="2"/>
                <w:sz w:val="18"/>
                <w:szCs w:val="18"/>
                <w:highlight w:val="none"/>
                <w:lang w:val="en-US" w:eastAsia="zh-CN" w:bidi="ar-SA"/>
              </w:rPr>
            </w:pPr>
            <w:r>
              <w:rPr>
                <w:rFonts w:ascii="Calibri" w:hAnsi="Calibri" w:cs="Calibri"/>
                <w:bCs/>
                <w:color w:val="auto"/>
                <w:sz w:val="18"/>
                <w:szCs w:val="18"/>
                <w:highlight w:val="none"/>
              </w:rPr>
              <w:t>来自其他渠道</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053431C">
            <w:pPr>
              <w:spacing w:line="280" w:lineRule="exact"/>
              <w:jc w:val="center"/>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千元</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1935F1D7">
            <w:pPr>
              <w:spacing w:line="280" w:lineRule="exact"/>
              <w:jc w:val="center"/>
              <w:rPr>
                <w:rFonts w:cs="Calibri"/>
                <w:bCs/>
                <w:color w:val="auto"/>
                <w:kern w:val="0"/>
                <w:sz w:val="18"/>
                <w:szCs w:val="18"/>
                <w:highlight w:val="none"/>
                <w:lang w:val="en-US" w:eastAsia="zh-CN" w:bidi="ar-SA"/>
              </w:rPr>
            </w:pPr>
            <w:r>
              <w:rPr>
                <w:rFonts w:cs="Calibri"/>
                <w:bCs/>
                <w:color w:val="auto"/>
                <w:kern w:val="0"/>
                <w:sz w:val="18"/>
                <w:szCs w:val="18"/>
                <w:highlight w:val="none"/>
              </w:rPr>
              <w:t>QJ255</w:t>
            </w:r>
          </w:p>
        </w:tc>
        <w:tc>
          <w:tcPr>
            <w:tcW w:w="1077" w:type="dxa"/>
            <w:tcBorders>
              <w:top w:val="single" w:color="auto" w:sz="4" w:space="0"/>
              <w:left w:val="single" w:color="auto" w:sz="4" w:space="0"/>
              <w:bottom w:val="single" w:color="auto" w:sz="4" w:space="0"/>
              <w:right w:val="nil"/>
            </w:tcBorders>
            <w:noWrap w:val="0"/>
            <w:vAlign w:val="center"/>
          </w:tcPr>
          <w:p w14:paraId="5C5EA0D6">
            <w:pPr>
              <w:spacing w:line="280" w:lineRule="exact"/>
              <w:jc w:val="center"/>
              <w:rPr>
                <w:rFonts w:ascii="Times New Roman" w:hAnsi="Times New Roman"/>
                <w:bCs/>
                <w:color w:val="auto"/>
                <w:kern w:val="2"/>
                <w:sz w:val="18"/>
                <w:szCs w:val="18"/>
                <w:highlight w:val="none"/>
                <w:lang w:val="en-US" w:eastAsia="zh-CN" w:bidi="ar-SA"/>
              </w:rPr>
            </w:pPr>
          </w:p>
        </w:tc>
      </w:tr>
      <w:tr w14:paraId="210990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18156575">
            <w:pPr>
              <w:widowControl/>
              <w:spacing w:line="280" w:lineRule="exact"/>
              <w:rPr>
                <w:rFonts w:ascii="Calibri" w:hAnsi="Calibri" w:cs="Calibri"/>
                <w:b/>
                <w:color w:val="auto"/>
                <w:kern w:val="0"/>
                <w:sz w:val="18"/>
                <w:szCs w:val="18"/>
                <w:highlight w:val="none"/>
                <w:lang w:val="en-US" w:eastAsia="zh-CN" w:bidi="ar-SA"/>
              </w:rPr>
            </w:pPr>
            <w:r>
              <w:rPr>
                <w:rFonts w:ascii="Calibri" w:hAnsi="Calibri" w:eastAsia="宋体" w:cs="Calibri"/>
                <w:b/>
                <w:color w:val="auto"/>
                <w:kern w:val="0"/>
                <w:sz w:val="18"/>
                <w:szCs w:val="18"/>
                <w:highlight w:val="none"/>
              </w:rPr>
              <w:t>五、</w:t>
            </w:r>
            <w:r>
              <w:rPr>
                <w:rFonts w:hint="default" w:ascii="Calibri" w:hAnsi="Calibri" w:eastAsia="宋体" w:cs="Calibri"/>
                <w:b/>
                <w:color w:val="auto"/>
                <w:kern w:val="0"/>
                <w:sz w:val="18"/>
                <w:szCs w:val="18"/>
                <w:highlight w:val="none"/>
              </w:rPr>
              <w:t>企业办研究开发机构（境内）情况</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ED83FF4">
            <w:pPr>
              <w:spacing w:line="280" w:lineRule="exact"/>
              <w:jc w:val="center"/>
              <w:rPr>
                <w:rFonts w:ascii="Times New Roman" w:hAnsi="Times New Roman"/>
                <w:bCs/>
                <w:color w:val="auto"/>
                <w:kern w:val="2"/>
                <w:sz w:val="21"/>
                <w:szCs w:val="24"/>
                <w:highlight w:val="none"/>
                <w:lang w:val="en-US" w:eastAsia="zh-CN" w:bidi="ar-SA"/>
              </w:rPr>
            </w:pPr>
            <w:r>
              <w:rPr>
                <w:rFonts w:ascii="Times New Roman" w:hAnsi="Times New Roman"/>
                <w:bCs/>
                <w:color w:val="auto"/>
                <w:kern w:val="0"/>
                <w:sz w:val="18"/>
                <w:szCs w:val="18"/>
                <w:highlight w:val="none"/>
              </w:rPr>
              <w:t>—</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3CE475C3">
            <w:pPr>
              <w:spacing w:line="280" w:lineRule="exact"/>
              <w:jc w:val="center"/>
              <w:rPr>
                <w:rFonts w:cs="Calibri"/>
                <w:bCs/>
                <w:color w:val="auto"/>
                <w:kern w:val="2"/>
                <w:sz w:val="21"/>
                <w:szCs w:val="24"/>
                <w:highlight w:val="none"/>
                <w:lang w:val="en-US" w:eastAsia="zh-CN" w:bidi="ar-SA"/>
              </w:rPr>
            </w:pPr>
            <w:r>
              <w:rPr>
                <w:rFonts w:cs="Calibri"/>
                <w:bCs/>
                <w:color w:val="auto"/>
                <w:kern w:val="0"/>
                <w:sz w:val="18"/>
                <w:szCs w:val="18"/>
                <w:highlight w:val="none"/>
              </w:rPr>
              <w:t>—</w:t>
            </w:r>
          </w:p>
        </w:tc>
        <w:tc>
          <w:tcPr>
            <w:tcW w:w="1077" w:type="dxa"/>
            <w:tcBorders>
              <w:top w:val="single" w:color="auto" w:sz="4" w:space="0"/>
              <w:left w:val="single" w:color="auto" w:sz="4" w:space="0"/>
              <w:bottom w:val="single" w:color="auto" w:sz="4" w:space="0"/>
              <w:right w:val="nil"/>
            </w:tcBorders>
            <w:noWrap w:val="0"/>
            <w:vAlign w:val="center"/>
          </w:tcPr>
          <w:p w14:paraId="38FDAA16">
            <w:pPr>
              <w:spacing w:line="280" w:lineRule="exact"/>
              <w:jc w:val="center"/>
              <w:rPr>
                <w:rFonts w:ascii="Times New Roman" w:hAnsi="Times New Roman"/>
                <w:bCs/>
                <w:color w:val="auto"/>
                <w:kern w:val="2"/>
                <w:sz w:val="21"/>
                <w:szCs w:val="24"/>
                <w:highlight w:val="none"/>
                <w:lang w:val="en-US" w:eastAsia="zh-CN" w:bidi="ar-SA"/>
              </w:rPr>
            </w:pPr>
            <w:r>
              <w:rPr>
                <w:rFonts w:ascii="Times New Roman" w:hAnsi="Times New Roman"/>
                <w:bCs/>
                <w:color w:val="auto"/>
                <w:kern w:val="0"/>
                <w:sz w:val="18"/>
                <w:szCs w:val="18"/>
                <w:highlight w:val="none"/>
              </w:rPr>
              <w:t>—</w:t>
            </w:r>
          </w:p>
        </w:tc>
      </w:tr>
      <w:tr w14:paraId="152B440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233B42D9">
            <w:pPr>
              <w:widowControl/>
              <w:spacing w:line="280" w:lineRule="exact"/>
              <w:rPr>
                <w:rFonts w:ascii="Calibri" w:hAnsi="Calibri" w:cs="Calibri"/>
                <w:bCs/>
                <w:color w:val="auto"/>
                <w:kern w:val="0"/>
                <w:sz w:val="18"/>
                <w:szCs w:val="18"/>
                <w:highlight w:val="none"/>
                <w:lang w:val="en-US" w:eastAsia="zh-CN" w:bidi="ar-SA"/>
              </w:rPr>
            </w:pPr>
            <w:r>
              <w:rPr>
                <w:rFonts w:ascii="Calibri" w:hAnsi="Calibri" w:cs="Calibri"/>
                <w:bCs/>
                <w:color w:val="auto"/>
                <w:kern w:val="0"/>
                <w:sz w:val="18"/>
                <w:szCs w:val="18"/>
                <w:highlight w:val="none"/>
              </w:rPr>
              <w:t>期末机构数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C946B49">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r>
              <w:rPr>
                <w:rFonts w:ascii="Times New Roman" w:hAnsi="Times New Roman"/>
                <w:bCs/>
                <w:color w:val="auto"/>
                <w:kern w:val="0"/>
                <w:sz w:val="18"/>
                <w:szCs w:val="18"/>
                <w:highlight w:val="none"/>
              </w:rPr>
              <w:t>个</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405D8B1F">
            <w:pPr>
              <w:widowControl/>
              <w:spacing w:line="280" w:lineRule="exact"/>
              <w:ind w:left="-1" w:leftChars="-50" w:right="-105" w:rightChars="-50" w:hanging="104" w:hangingChars="58"/>
              <w:jc w:val="center"/>
              <w:rPr>
                <w:rFonts w:cs="Calibri"/>
                <w:bCs/>
                <w:color w:val="auto"/>
                <w:kern w:val="2"/>
                <w:sz w:val="21"/>
                <w:szCs w:val="24"/>
                <w:highlight w:val="none"/>
                <w:lang w:val="en-US" w:eastAsia="zh-CN" w:bidi="ar-SA"/>
              </w:rPr>
            </w:pPr>
            <w:r>
              <w:rPr>
                <w:rFonts w:cs="Calibri"/>
                <w:bCs/>
                <w:color w:val="auto"/>
                <w:kern w:val="0"/>
                <w:sz w:val="18"/>
                <w:szCs w:val="18"/>
                <w:highlight w:val="none"/>
              </w:rPr>
              <w:t>QI01</w:t>
            </w:r>
          </w:p>
        </w:tc>
        <w:tc>
          <w:tcPr>
            <w:tcW w:w="1077" w:type="dxa"/>
            <w:tcBorders>
              <w:top w:val="single" w:color="auto" w:sz="4" w:space="0"/>
              <w:left w:val="single" w:color="auto" w:sz="4" w:space="0"/>
              <w:bottom w:val="single" w:color="auto" w:sz="4" w:space="0"/>
              <w:right w:val="nil"/>
            </w:tcBorders>
            <w:noWrap w:val="0"/>
            <w:vAlign w:val="center"/>
          </w:tcPr>
          <w:p w14:paraId="24F4B8A7">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11214E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7309C1F">
            <w:pPr>
              <w:widowControl/>
              <w:spacing w:line="280" w:lineRule="exact"/>
              <w:rPr>
                <w:rFonts w:ascii="Calibri" w:hAnsi="Calibri" w:cs="Calibri"/>
                <w:bCs/>
                <w:color w:val="auto"/>
                <w:kern w:val="0"/>
                <w:sz w:val="18"/>
                <w:szCs w:val="18"/>
                <w:highlight w:val="none"/>
                <w:lang w:val="en-US" w:eastAsia="zh-CN" w:bidi="ar-SA"/>
              </w:rPr>
            </w:pPr>
            <w:r>
              <w:rPr>
                <w:rFonts w:ascii="Calibri" w:hAnsi="Calibri" w:cs="Calibri"/>
                <w:bCs/>
                <w:color w:val="auto"/>
                <w:kern w:val="0"/>
                <w:sz w:val="18"/>
                <w:szCs w:val="18"/>
                <w:highlight w:val="none"/>
              </w:rPr>
              <w:t>机构研究开发人员</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2DA0338">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r>
              <w:rPr>
                <w:rFonts w:ascii="Times New Roman" w:hAnsi="Times New Roman"/>
                <w:bCs/>
                <w:color w:val="auto"/>
                <w:kern w:val="0"/>
                <w:sz w:val="18"/>
                <w:szCs w:val="18"/>
                <w:highlight w:val="none"/>
              </w:rPr>
              <w:t>人</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1CA2FEE9">
            <w:pPr>
              <w:widowControl/>
              <w:spacing w:line="280" w:lineRule="exact"/>
              <w:ind w:left="-1" w:leftChars="-50" w:right="-105" w:rightChars="-50" w:hanging="104" w:hangingChars="58"/>
              <w:jc w:val="center"/>
              <w:rPr>
                <w:rFonts w:cs="Calibri"/>
                <w:bCs/>
                <w:color w:val="auto"/>
                <w:kern w:val="2"/>
                <w:sz w:val="21"/>
                <w:szCs w:val="24"/>
                <w:highlight w:val="none"/>
                <w:lang w:val="en-US" w:eastAsia="zh-CN" w:bidi="ar-SA"/>
              </w:rPr>
            </w:pPr>
            <w:r>
              <w:rPr>
                <w:rFonts w:cs="Calibri"/>
                <w:bCs/>
                <w:color w:val="auto"/>
                <w:kern w:val="0"/>
                <w:sz w:val="18"/>
                <w:szCs w:val="18"/>
                <w:highlight w:val="none"/>
              </w:rPr>
              <w:t>QI07_0</w:t>
            </w:r>
          </w:p>
        </w:tc>
        <w:tc>
          <w:tcPr>
            <w:tcW w:w="1077" w:type="dxa"/>
            <w:tcBorders>
              <w:top w:val="single" w:color="auto" w:sz="4" w:space="0"/>
              <w:left w:val="single" w:color="auto" w:sz="4" w:space="0"/>
              <w:bottom w:val="single" w:color="auto" w:sz="4" w:space="0"/>
              <w:right w:val="nil"/>
            </w:tcBorders>
            <w:noWrap w:val="0"/>
            <w:vAlign w:val="center"/>
          </w:tcPr>
          <w:p w14:paraId="2E7097C2">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341EB5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15B6D39B">
            <w:pPr>
              <w:widowControl/>
              <w:spacing w:line="280" w:lineRule="exact"/>
              <w:ind w:firstLine="360" w:firstLineChars="200"/>
              <w:rPr>
                <w:rFonts w:ascii="Calibri" w:hAnsi="Calibri" w:cs="Calibri"/>
                <w:bCs/>
                <w:color w:val="auto"/>
                <w:kern w:val="0"/>
                <w:sz w:val="18"/>
                <w:szCs w:val="18"/>
                <w:highlight w:val="none"/>
                <w:lang w:val="en-US" w:eastAsia="zh-CN" w:bidi="ar-SA"/>
              </w:rPr>
            </w:pPr>
            <w:r>
              <w:rPr>
                <w:rFonts w:ascii="Calibri" w:hAnsi="Calibri" w:cs="Calibri"/>
                <w:bCs/>
                <w:color w:val="auto"/>
                <w:kern w:val="0"/>
                <w:sz w:val="18"/>
                <w:szCs w:val="18"/>
                <w:highlight w:val="none"/>
              </w:rPr>
              <w:t>其中：博士毕业</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97F366E">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r>
              <w:rPr>
                <w:rFonts w:ascii="Times New Roman" w:hAnsi="Times New Roman"/>
                <w:bCs/>
                <w:color w:val="auto"/>
                <w:kern w:val="0"/>
                <w:sz w:val="18"/>
                <w:szCs w:val="18"/>
                <w:highlight w:val="none"/>
              </w:rPr>
              <w:t>人</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53D21E3A">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QI07_1</w:t>
            </w:r>
          </w:p>
        </w:tc>
        <w:tc>
          <w:tcPr>
            <w:tcW w:w="1077" w:type="dxa"/>
            <w:tcBorders>
              <w:top w:val="single" w:color="auto" w:sz="4" w:space="0"/>
              <w:left w:val="single" w:color="auto" w:sz="4" w:space="0"/>
              <w:bottom w:val="single" w:color="auto" w:sz="4" w:space="0"/>
              <w:right w:val="nil"/>
            </w:tcBorders>
            <w:noWrap w:val="0"/>
            <w:vAlign w:val="center"/>
          </w:tcPr>
          <w:p w14:paraId="1F1043CA">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63F497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90DD2B4">
            <w:pPr>
              <w:widowControl/>
              <w:spacing w:line="280" w:lineRule="exact"/>
              <w:ind w:firstLine="900" w:firstLineChars="500"/>
              <w:rPr>
                <w:rFonts w:cs="Calibri"/>
                <w:bCs/>
                <w:color w:val="auto"/>
                <w:kern w:val="0"/>
                <w:sz w:val="18"/>
                <w:szCs w:val="18"/>
                <w:highlight w:val="none"/>
                <w:lang w:val="en-US" w:eastAsia="zh-CN" w:bidi="ar-SA"/>
              </w:rPr>
            </w:pPr>
            <w:r>
              <w:rPr>
                <w:rFonts w:cs="Calibri"/>
                <w:bCs/>
                <w:color w:val="auto"/>
                <w:kern w:val="0"/>
                <w:sz w:val="18"/>
                <w:szCs w:val="18"/>
                <w:highlight w:val="none"/>
              </w:rPr>
              <w:t>硕士毕业</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39A81266">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人</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35C071BF">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QI07_2</w:t>
            </w:r>
          </w:p>
        </w:tc>
        <w:tc>
          <w:tcPr>
            <w:tcW w:w="1077" w:type="dxa"/>
            <w:tcBorders>
              <w:top w:val="single" w:color="auto" w:sz="4" w:space="0"/>
              <w:left w:val="single" w:color="auto" w:sz="4" w:space="0"/>
              <w:bottom w:val="single" w:color="auto" w:sz="4" w:space="0"/>
              <w:right w:val="nil"/>
            </w:tcBorders>
            <w:noWrap w:val="0"/>
            <w:vAlign w:val="center"/>
          </w:tcPr>
          <w:p w14:paraId="6BA4EDB4">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031B84C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2BA5FD30">
            <w:pPr>
              <w:widowControl/>
              <w:spacing w:line="280" w:lineRule="exact"/>
              <w:rPr>
                <w:rFonts w:cs="Calibri"/>
                <w:bCs/>
                <w:color w:val="auto"/>
                <w:kern w:val="0"/>
                <w:sz w:val="18"/>
                <w:szCs w:val="18"/>
                <w:highlight w:val="none"/>
              </w:rPr>
            </w:pPr>
            <w:r>
              <w:rPr>
                <w:rFonts w:cs="Calibri"/>
                <w:bCs/>
                <w:color w:val="auto"/>
                <w:kern w:val="0"/>
                <w:sz w:val="18"/>
                <w:szCs w:val="18"/>
                <w:highlight w:val="none"/>
              </w:rPr>
              <w:t>机构研究开发费用</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1DD451BF">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千元</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2701F315">
            <w:pPr>
              <w:widowControl/>
              <w:spacing w:line="280" w:lineRule="exact"/>
              <w:ind w:left="-1" w:leftChars="-50" w:right="-105" w:rightChars="-50" w:hanging="104" w:hangingChars="58"/>
              <w:jc w:val="center"/>
              <w:rPr>
                <w:rFonts w:cs="Calibri"/>
                <w:bCs/>
                <w:color w:val="auto"/>
                <w:szCs w:val="24"/>
                <w:highlight w:val="none"/>
              </w:rPr>
            </w:pPr>
            <w:r>
              <w:rPr>
                <w:rFonts w:cs="Calibri"/>
                <w:bCs/>
                <w:color w:val="auto"/>
                <w:kern w:val="0"/>
                <w:sz w:val="18"/>
                <w:szCs w:val="18"/>
                <w:highlight w:val="none"/>
              </w:rPr>
              <w:t>QI14_1</w:t>
            </w:r>
          </w:p>
        </w:tc>
        <w:tc>
          <w:tcPr>
            <w:tcW w:w="1077" w:type="dxa"/>
            <w:tcBorders>
              <w:top w:val="single" w:color="auto" w:sz="4" w:space="0"/>
              <w:left w:val="single" w:color="auto" w:sz="4" w:space="0"/>
              <w:bottom w:val="single" w:color="auto" w:sz="4" w:space="0"/>
              <w:right w:val="nil"/>
            </w:tcBorders>
            <w:noWrap w:val="0"/>
            <w:vAlign w:val="center"/>
          </w:tcPr>
          <w:p w14:paraId="0944EC12">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764C99F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B671A19">
            <w:pPr>
              <w:widowControl/>
              <w:spacing w:line="280" w:lineRule="exact"/>
              <w:rPr>
                <w:rFonts w:cs="Calibri"/>
                <w:b/>
                <w:color w:val="auto"/>
                <w:kern w:val="0"/>
                <w:sz w:val="18"/>
                <w:szCs w:val="18"/>
                <w:highlight w:val="none"/>
              </w:rPr>
            </w:pPr>
            <w:r>
              <w:rPr>
                <w:rFonts w:cs="Calibri"/>
                <w:b/>
                <w:color w:val="auto"/>
                <w:kern w:val="0"/>
                <w:sz w:val="18"/>
                <w:szCs w:val="18"/>
                <w:highlight w:val="none"/>
              </w:rPr>
              <w:t>六、研究开发产出及相关情况</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6DC409FF">
            <w:pPr>
              <w:widowControl/>
              <w:spacing w:line="280" w:lineRule="exact"/>
              <w:jc w:val="center"/>
              <w:rPr>
                <w:rFonts w:cs="Calibri"/>
                <w:bCs/>
                <w:color w:val="auto"/>
                <w:szCs w:val="24"/>
                <w:highlight w:val="none"/>
              </w:rPr>
            </w:pPr>
            <w:r>
              <w:rPr>
                <w:rFonts w:cs="Calibri"/>
                <w:bCs/>
                <w:color w:val="auto"/>
                <w:kern w:val="0"/>
                <w:sz w:val="18"/>
                <w:szCs w:val="18"/>
                <w:highlight w:val="none"/>
              </w:rPr>
              <w:t>—</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22072F71">
            <w:pPr>
              <w:widowControl/>
              <w:spacing w:line="280" w:lineRule="exact"/>
              <w:jc w:val="center"/>
              <w:rPr>
                <w:rFonts w:cs="Calibri"/>
                <w:bCs/>
                <w:color w:val="auto"/>
                <w:szCs w:val="24"/>
                <w:highlight w:val="none"/>
              </w:rPr>
            </w:pPr>
            <w:r>
              <w:rPr>
                <w:rFonts w:cs="Calibri"/>
                <w:bCs/>
                <w:color w:val="auto"/>
                <w:kern w:val="0"/>
                <w:sz w:val="18"/>
                <w:szCs w:val="18"/>
                <w:highlight w:val="none"/>
              </w:rPr>
              <w:t>—</w:t>
            </w:r>
          </w:p>
        </w:tc>
        <w:tc>
          <w:tcPr>
            <w:tcW w:w="1077" w:type="dxa"/>
            <w:tcBorders>
              <w:top w:val="single" w:color="auto" w:sz="4" w:space="0"/>
              <w:left w:val="single" w:color="auto" w:sz="4" w:space="0"/>
              <w:bottom w:val="single" w:color="auto" w:sz="4" w:space="0"/>
              <w:right w:val="nil"/>
            </w:tcBorders>
            <w:noWrap w:val="0"/>
            <w:vAlign w:val="center"/>
          </w:tcPr>
          <w:p w14:paraId="72F30851">
            <w:pPr>
              <w:widowControl/>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r>
      <w:tr w14:paraId="508298A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7C8474B">
            <w:pPr>
              <w:widowControl/>
              <w:spacing w:line="280" w:lineRule="exact"/>
              <w:rPr>
                <w:rFonts w:cs="Calibri"/>
                <w:b/>
                <w:color w:val="auto"/>
                <w:kern w:val="0"/>
                <w:sz w:val="18"/>
                <w:szCs w:val="18"/>
                <w:highlight w:val="none"/>
              </w:rPr>
            </w:pPr>
            <w:r>
              <w:rPr>
                <w:rFonts w:cs="Calibri"/>
                <w:b/>
                <w:color w:val="auto"/>
                <w:kern w:val="0"/>
                <w:sz w:val="18"/>
                <w:szCs w:val="18"/>
                <w:highlight w:val="none"/>
              </w:rPr>
              <w:t>（一）自主知识产权情况</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60D8F80">
            <w:pPr>
              <w:widowControl/>
              <w:spacing w:line="280" w:lineRule="exact"/>
              <w:jc w:val="center"/>
              <w:rPr>
                <w:rFonts w:cs="Calibri"/>
                <w:bCs/>
                <w:color w:val="auto"/>
                <w:szCs w:val="24"/>
                <w:highlight w:val="none"/>
              </w:rPr>
            </w:pPr>
            <w:r>
              <w:rPr>
                <w:rFonts w:cs="Calibri"/>
                <w:bCs/>
                <w:color w:val="auto"/>
                <w:kern w:val="0"/>
                <w:sz w:val="18"/>
                <w:szCs w:val="18"/>
                <w:highlight w:val="none"/>
              </w:rPr>
              <w:t>—</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0185DE80">
            <w:pPr>
              <w:widowControl/>
              <w:spacing w:line="280" w:lineRule="exact"/>
              <w:jc w:val="center"/>
              <w:rPr>
                <w:rFonts w:cs="Calibri"/>
                <w:bCs/>
                <w:color w:val="auto"/>
                <w:szCs w:val="24"/>
                <w:highlight w:val="none"/>
              </w:rPr>
            </w:pPr>
            <w:r>
              <w:rPr>
                <w:rFonts w:cs="Calibri"/>
                <w:bCs/>
                <w:color w:val="auto"/>
                <w:kern w:val="0"/>
                <w:sz w:val="18"/>
                <w:szCs w:val="18"/>
                <w:highlight w:val="none"/>
              </w:rPr>
              <w:t>—</w:t>
            </w:r>
          </w:p>
        </w:tc>
        <w:tc>
          <w:tcPr>
            <w:tcW w:w="1077" w:type="dxa"/>
            <w:tcBorders>
              <w:top w:val="single" w:color="auto" w:sz="4" w:space="0"/>
              <w:left w:val="single" w:color="auto" w:sz="4" w:space="0"/>
              <w:bottom w:val="single" w:color="auto" w:sz="4" w:space="0"/>
              <w:right w:val="nil"/>
            </w:tcBorders>
            <w:noWrap w:val="0"/>
            <w:vAlign w:val="center"/>
          </w:tcPr>
          <w:p w14:paraId="2CA5DDD4">
            <w:pPr>
              <w:widowControl/>
              <w:spacing w:line="280" w:lineRule="exact"/>
              <w:jc w:val="center"/>
              <w:rPr>
                <w:rFonts w:ascii="Times New Roman" w:hAnsi="Times New Roman"/>
                <w:bCs/>
                <w:color w:val="auto"/>
                <w:szCs w:val="24"/>
                <w:highlight w:val="none"/>
              </w:rPr>
            </w:pPr>
            <w:r>
              <w:rPr>
                <w:rFonts w:ascii="Times New Roman" w:hAnsi="Times New Roman"/>
                <w:bCs/>
                <w:color w:val="auto"/>
                <w:kern w:val="0"/>
                <w:sz w:val="18"/>
                <w:szCs w:val="18"/>
                <w:highlight w:val="none"/>
              </w:rPr>
              <w:t>—</w:t>
            </w:r>
          </w:p>
        </w:tc>
      </w:tr>
      <w:tr w14:paraId="182AF2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50C6897">
            <w:pPr>
              <w:widowControl/>
              <w:spacing w:line="280" w:lineRule="exact"/>
              <w:rPr>
                <w:rFonts w:cs="Calibri"/>
                <w:bCs/>
                <w:color w:val="auto"/>
                <w:kern w:val="0"/>
                <w:sz w:val="18"/>
                <w:szCs w:val="18"/>
                <w:highlight w:val="none"/>
              </w:rPr>
            </w:pPr>
            <w:r>
              <w:rPr>
                <w:rFonts w:cs="Calibri"/>
                <w:bCs/>
                <w:color w:val="auto"/>
                <w:kern w:val="0"/>
                <w:sz w:val="18"/>
                <w:szCs w:val="18"/>
                <w:highlight w:val="none"/>
              </w:rPr>
              <w:t>当年专利申请数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F35731E">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6EFBE53D">
            <w:pPr>
              <w:widowControl/>
              <w:spacing w:line="280" w:lineRule="exact"/>
              <w:ind w:left="-1" w:leftChars="-50" w:right="-105" w:rightChars="-50" w:hanging="104" w:hangingChars="58"/>
              <w:jc w:val="center"/>
              <w:rPr>
                <w:rFonts w:cs="Calibri"/>
                <w:bCs/>
                <w:color w:val="auto"/>
                <w:szCs w:val="24"/>
                <w:highlight w:val="none"/>
              </w:rPr>
            </w:pPr>
            <w:r>
              <w:rPr>
                <w:rFonts w:cs="Calibri"/>
                <w:bCs/>
                <w:color w:val="auto"/>
                <w:kern w:val="0"/>
                <w:sz w:val="18"/>
                <w:szCs w:val="18"/>
                <w:highlight w:val="none"/>
              </w:rPr>
              <w:t>QJ55</w:t>
            </w:r>
          </w:p>
        </w:tc>
        <w:tc>
          <w:tcPr>
            <w:tcW w:w="1077" w:type="dxa"/>
            <w:tcBorders>
              <w:top w:val="single" w:color="auto" w:sz="4" w:space="0"/>
              <w:left w:val="single" w:color="auto" w:sz="4" w:space="0"/>
              <w:bottom w:val="single" w:color="auto" w:sz="4" w:space="0"/>
              <w:right w:val="nil"/>
            </w:tcBorders>
            <w:noWrap w:val="0"/>
            <w:vAlign w:val="center"/>
          </w:tcPr>
          <w:p w14:paraId="6917E5F0">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25E76C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97B9692">
            <w:pPr>
              <w:widowControl/>
              <w:spacing w:line="280" w:lineRule="exact"/>
              <w:ind w:firstLine="360" w:firstLineChars="200"/>
              <w:jc w:val="left"/>
              <w:rPr>
                <w:rFonts w:cs="Calibri"/>
                <w:bCs/>
                <w:color w:val="auto"/>
                <w:kern w:val="0"/>
                <w:sz w:val="18"/>
                <w:szCs w:val="18"/>
                <w:highlight w:val="none"/>
              </w:rPr>
            </w:pPr>
            <w:r>
              <w:rPr>
                <w:rFonts w:cs="Calibri"/>
                <w:bCs/>
                <w:color w:val="auto"/>
                <w:kern w:val="0"/>
                <w:sz w:val="18"/>
                <w:szCs w:val="18"/>
                <w:highlight w:val="none"/>
              </w:rPr>
              <w:t>其中：申请发明专利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33732635">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4A47426B">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QJ56</w:t>
            </w:r>
          </w:p>
        </w:tc>
        <w:tc>
          <w:tcPr>
            <w:tcW w:w="1077" w:type="dxa"/>
            <w:tcBorders>
              <w:top w:val="single" w:color="auto" w:sz="4" w:space="0"/>
              <w:left w:val="single" w:color="auto" w:sz="4" w:space="0"/>
              <w:bottom w:val="single" w:color="auto" w:sz="4" w:space="0"/>
              <w:right w:val="nil"/>
            </w:tcBorders>
            <w:noWrap w:val="0"/>
            <w:vAlign w:val="center"/>
          </w:tcPr>
          <w:p w14:paraId="1B390744">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35A3742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6F651F0">
            <w:pPr>
              <w:widowControl/>
              <w:spacing w:line="280" w:lineRule="exact"/>
              <w:ind w:firstLine="900" w:firstLineChars="500"/>
              <w:jc w:val="left"/>
              <w:rPr>
                <w:rFonts w:cs="Calibri"/>
                <w:bCs/>
                <w:color w:val="auto"/>
                <w:kern w:val="0"/>
                <w:sz w:val="18"/>
                <w:szCs w:val="18"/>
                <w:highlight w:val="none"/>
              </w:rPr>
            </w:pPr>
            <w:r>
              <w:rPr>
                <w:rFonts w:cs="Calibri"/>
                <w:bCs/>
                <w:color w:val="auto"/>
                <w:kern w:val="0"/>
                <w:sz w:val="18"/>
                <w:szCs w:val="18"/>
                <w:highlight w:val="none"/>
              </w:rPr>
              <w:t>其中：申请国内发明专利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701F6976">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66AE65E7">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QJ56_1</w:t>
            </w:r>
          </w:p>
        </w:tc>
        <w:tc>
          <w:tcPr>
            <w:tcW w:w="1077" w:type="dxa"/>
            <w:tcBorders>
              <w:top w:val="single" w:color="auto" w:sz="4" w:space="0"/>
              <w:left w:val="single" w:color="auto" w:sz="4" w:space="0"/>
              <w:bottom w:val="single" w:color="auto" w:sz="4" w:space="0"/>
              <w:right w:val="nil"/>
            </w:tcBorders>
            <w:noWrap w:val="0"/>
            <w:vAlign w:val="center"/>
          </w:tcPr>
          <w:p w14:paraId="4E063A1B">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527062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010BC4C">
            <w:pPr>
              <w:widowControl/>
              <w:spacing w:line="280" w:lineRule="exact"/>
              <w:ind w:firstLine="360" w:firstLineChars="200"/>
              <w:rPr>
                <w:rFonts w:cs="Calibri"/>
                <w:bCs/>
                <w:color w:val="auto"/>
                <w:kern w:val="0"/>
                <w:sz w:val="18"/>
                <w:szCs w:val="18"/>
                <w:highlight w:val="none"/>
              </w:rPr>
            </w:pPr>
            <w:r>
              <w:rPr>
                <w:rFonts w:cs="Calibri"/>
                <w:bCs/>
                <w:color w:val="auto"/>
                <w:kern w:val="0"/>
                <w:sz w:val="18"/>
                <w:szCs w:val="18"/>
                <w:highlight w:val="none"/>
              </w:rPr>
              <w:t>其中：申请欧美日专利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150619BD">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267E1C1F">
            <w:pPr>
              <w:widowControl/>
              <w:spacing w:line="280" w:lineRule="exact"/>
              <w:ind w:left="-1" w:leftChars="-50" w:right="-105" w:rightChars="-50" w:hanging="104" w:hangingChars="58"/>
              <w:jc w:val="center"/>
              <w:rPr>
                <w:rFonts w:cs="Calibri"/>
                <w:bCs/>
                <w:color w:val="auto"/>
                <w:szCs w:val="24"/>
                <w:highlight w:val="none"/>
              </w:rPr>
            </w:pPr>
            <w:r>
              <w:rPr>
                <w:rFonts w:cs="Calibri"/>
                <w:bCs/>
                <w:color w:val="auto"/>
                <w:kern w:val="0"/>
                <w:sz w:val="18"/>
                <w:szCs w:val="18"/>
                <w:highlight w:val="none"/>
              </w:rPr>
              <w:t>QJ55_1</w:t>
            </w:r>
          </w:p>
        </w:tc>
        <w:tc>
          <w:tcPr>
            <w:tcW w:w="1077" w:type="dxa"/>
            <w:tcBorders>
              <w:top w:val="single" w:color="auto" w:sz="4" w:space="0"/>
              <w:left w:val="single" w:color="auto" w:sz="4" w:space="0"/>
              <w:bottom w:val="single" w:color="auto" w:sz="4" w:space="0"/>
              <w:right w:val="nil"/>
            </w:tcBorders>
            <w:noWrap w:val="0"/>
            <w:vAlign w:val="center"/>
          </w:tcPr>
          <w:p w14:paraId="1E0DDFBE">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045B60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D28FE54">
            <w:pPr>
              <w:widowControl/>
              <w:spacing w:line="280" w:lineRule="exact"/>
              <w:ind w:firstLine="360" w:firstLineChars="200"/>
              <w:rPr>
                <w:rFonts w:cs="Calibri"/>
                <w:bCs/>
                <w:color w:val="auto"/>
                <w:kern w:val="0"/>
                <w:sz w:val="18"/>
                <w:szCs w:val="18"/>
                <w:highlight w:val="none"/>
              </w:rPr>
            </w:pPr>
            <w:r>
              <w:rPr>
                <w:rFonts w:cs="Calibri"/>
                <w:bCs/>
                <w:color w:val="auto"/>
                <w:kern w:val="0"/>
                <w:sz w:val="18"/>
                <w:szCs w:val="18"/>
                <w:highlight w:val="none"/>
              </w:rPr>
              <w:t>其中：申请PCT国际专利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01D5C8DB">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3F9E0046">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QJ55_2</w:t>
            </w:r>
          </w:p>
        </w:tc>
        <w:tc>
          <w:tcPr>
            <w:tcW w:w="1077" w:type="dxa"/>
            <w:tcBorders>
              <w:top w:val="single" w:color="auto" w:sz="4" w:space="0"/>
              <w:left w:val="single" w:color="auto" w:sz="4" w:space="0"/>
              <w:bottom w:val="single" w:color="auto" w:sz="4" w:space="0"/>
              <w:right w:val="nil"/>
            </w:tcBorders>
            <w:noWrap w:val="0"/>
            <w:vAlign w:val="center"/>
          </w:tcPr>
          <w:p w14:paraId="404A1942">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3142F72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D16B66E">
            <w:pPr>
              <w:widowControl/>
              <w:spacing w:line="280" w:lineRule="exact"/>
              <w:rPr>
                <w:rFonts w:cs="Calibri"/>
                <w:bCs/>
                <w:color w:val="auto"/>
                <w:kern w:val="0"/>
                <w:sz w:val="18"/>
                <w:szCs w:val="18"/>
                <w:highlight w:val="none"/>
              </w:rPr>
            </w:pPr>
            <w:r>
              <w:rPr>
                <w:rFonts w:cs="Calibri"/>
                <w:bCs/>
                <w:color w:val="auto"/>
                <w:kern w:val="0"/>
                <w:sz w:val="18"/>
                <w:szCs w:val="18"/>
                <w:highlight w:val="none"/>
              </w:rPr>
              <w:t>当年专利授权数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81A73B4">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18C4ED7D">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QJ74</w:t>
            </w:r>
          </w:p>
        </w:tc>
        <w:tc>
          <w:tcPr>
            <w:tcW w:w="1077" w:type="dxa"/>
            <w:tcBorders>
              <w:top w:val="single" w:color="auto" w:sz="4" w:space="0"/>
              <w:left w:val="single" w:color="auto" w:sz="4" w:space="0"/>
              <w:bottom w:val="single" w:color="auto" w:sz="4" w:space="0"/>
              <w:right w:val="nil"/>
            </w:tcBorders>
            <w:noWrap w:val="0"/>
            <w:vAlign w:val="center"/>
          </w:tcPr>
          <w:p w14:paraId="50271719">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57373DE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D882B8E">
            <w:pPr>
              <w:widowControl/>
              <w:spacing w:line="280" w:lineRule="exact"/>
              <w:ind w:firstLine="360" w:firstLineChars="200"/>
              <w:rPr>
                <w:rFonts w:cs="Calibri"/>
                <w:bCs/>
                <w:color w:val="auto"/>
                <w:kern w:val="0"/>
                <w:sz w:val="18"/>
                <w:szCs w:val="18"/>
                <w:highlight w:val="none"/>
              </w:rPr>
            </w:pPr>
            <w:r>
              <w:rPr>
                <w:rFonts w:cs="Calibri"/>
                <w:bCs/>
                <w:color w:val="auto"/>
                <w:kern w:val="0"/>
                <w:sz w:val="18"/>
                <w:szCs w:val="18"/>
                <w:highlight w:val="none"/>
              </w:rPr>
              <w:t>其中：授权发明专利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0B0EDEF1">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54428139">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QJ57</w:t>
            </w:r>
          </w:p>
        </w:tc>
        <w:tc>
          <w:tcPr>
            <w:tcW w:w="1077" w:type="dxa"/>
            <w:tcBorders>
              <w:top w:val="single" w:color="auto" w:sz="4" w:space="0"/>
              <w:left w:val="single" w:color="auto" w:sz="4" w:space="0"/>
              <w:bottom w:val="single" w:color="auto" w:sz="4" w:space="0"/>
              <w:right w:val="nil"/>
            </w:tcBorders>
            <w:noWrap w:val="0"/>
            <w:vAlign w:val="center"/>
          </w:tcPr>
          <w:p w14:paraId="5B2A777C">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3C3C92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BE42309">
            <w:pPr>
              <w:widowControl/>
              <w:spacing w:line="280" w:lineRule="exact"/>
              <w:ind w:firstLine="900" w:firstLineChars="500"/>
              <w:rPr>
                <w:rFonts w:cs="Calibri"/>
                <w:bCs/>
                <w:color w:val="auto"/>
                <w:kern w:val="0"/>
                <w:sz w:val="18"/>
                <w:szCs w:val="18"/>
                <w:highlight w:val="none"/>
              </w:rPr>
            </w:pPr>
            <w:r>
              <w:rPr>
                <w:rFonts w:cs="Calibri"/>
                <w:bCs/>
                <w:color w:val="auto"/>
                <w:kern w:val="0"/>
                <w:sz w:val="18"/>
                <w:szCs w:val="18"/>
                <w:highlight w:val="none"/>
              </w:rPr>
              <w:t>其中：授权国内发明专利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312E2B93">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0EE87185">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QJ57_1</w:t>
            </w:r>
          </w:p>
        </w:tc>
        <w:tc>
          <w:tcPr>
            <w:tcW w:w="1077" w:type="dxa"/>
            <w:tcBorders>
              <w:top w:val="single" w:color="auto" w:sz="4" w:space="0"/>
              <w:left w:val="single" w:color="auto" w:sz="4" w:space="0"/>
              <w:bottom w:val="single" w:color="auto" w:sz="4" w:space="0"/>
              <w:right w:val="nil"/>
            </w:tcBorders>
            <w:noWrap w:val="0"/>
            <w:vAlign w:val="center"/>
          </w:tcPr>
          <w:p w14:paraId="65CBF9C2">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2346E6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899DDDD">
            <w:pPr>
              <w:widowControl/>
              <w:spacing w:line="280" w:lineRule="exact"/>
              <w:ind w:firstLine="360" w:firstLineChars="200"/>
              <w:rPr>
                <w:rFonts w:cs="Calibri"/>
                <w:bCs/>
                <w:color w:val="auto"/>
                <w:kern w:val="0"/>
                <w:sz w:val="18"/>
                <w:szCs w:val="18"/>
                <w:highlight w:val="none"/>
              </w:rPr>
            </w:pPr>
            <w:r>
              <w:rPr>
                <w:rFonts w:cs="Calibri"/>
                <w:bCs/>
                <w:color w:val="auto"/>
                <w:kern w:val="0"/>
                <w:sz w:val="18"/>
                <w:szCs w:val="18"/>
                <w:highlight w:val="none"/>
              </w:rPr>
              <w:t>其中：授权欧美日专利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7442819B">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3B66F816">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QJ75</w:t>
            </w:r>
          </w:p>
        </w:tc>
        <w:tc>
          <w:tcPr>
            <w:tcW w:w="1077" w:type="dxa"/>
            <w:tcBorders>
              <w:top w:val="single" w:color="auto" w:sz="4" w:space="0"/>
              <w:left w:val="single" w:color="auto" w:sz="4" w:space="0"/>
              <w:bottom w:val="single" w:color="auto" w:sz="4" w:space="0"/>
              <w:right w:val="nil"/>
            </w:tcBorders>
            <w:noWrap w:val="0"/>
            <w:vAlign w:val="center"/>
          </w:tcPr>
          <w:p w14:paraId="3D7F568F">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75609CA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3A67534D">
            <w:pPr>
              <w:widowControl/>
              <w:spacing w:line="280" w:lineRule="exact"/>
              <w:rPr>
                <w:rFonts w:cs="Calibri"/>
                <w:bCs/>
                <w:color w:val="auto"/>
                <w:kern w:val="0"/>
                <w:sz w:val="18"/>
                <w:szCs w:val="18"/>
                <w:highlight w:val="none"/>
              </w:rPr>
            </w:pPr>
            <w:r>
              <w:rPr>
                <w:rFonts w:cs="Calibri"/>
                <w:bCs/>
                <w:color w:val="auto"/>
                <w:kern w:val="0"/>
                <w:sz w:val="18"/>
                <w:szCs w:val="18"/>
                <w:highlight w:val="none"/>
              </w:rPr>
              <w:t>期末拥有有效专利数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1D81CECD">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38BC8FDC">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QJ83</w:t>
            </w:r>
          </w:p>
        </w:tc>
        <w:tc>
          <w:tcPr>
            <w:tcW w:w="1077" w:type="dxa"/>
            <w:tcBorders>
              <w:top w:val="single" w:color="auto" w:sz="4" w:space="0"/>
              <w:left w:val="single" w:color="auto" w:sz="4" w:space="0"/>
              <w:bottom w:val="single" w:color="auto" w:sz="4" w:space="0"/>
              <w:right w:val="nil"/>
            </w:tcBorders>
            <w:noWrap w:val="0"/>
            <w:vAlign w:val="center"/>
          </w:tcPr>
          <w:p w14:paraId="2F97B00C">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270A44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59B068C7">
            <w:pPr>
              <w:widowControl/>
              <w:spacing w:line="280" w:lineRule="exact"/>
              <w:ind w:firstLine="360" w:firstLineChars="200"/>
              <w:rPr>
                <w:rFonts w:cs="Calibri"/>
                <w:bCs/>
                <w:color w:val="auto"/>
                <w:kern w:val="0"/>
                <w:sz w:val="18"/>
                <w:szCs w:val="18"/>
                <w:highlight w:val="none"/>
              </w:rPr>
            </w:pPr>
            <w:r>
              <w:rPr>
                <w:rFonts w:cs="Calibri"/>
                <w:bCs/>
                <w:color w:val="auto"/>
                <w:kern w:val="0"/>
                <w:sz w:val="18"/>
                <w:szCs w:val="18"/>
                <w:highlight w:val="none"/>
              </w:rPr>
              <w:t>其中：拥有境外授权专利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7126E11">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32AAABC1">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QJ83_1</w:t>
            </w:r>
          </w:p>
        </w:tc>
        <w:tc>
          <w:tcPr>
            <w:tcW w:w="1077" w:type="dxa"/>
            <w:tcBorders>
              <w:top w:val="single" w:color="auto" w:sz="4" w:space="0"/>
              <w:left w:val="single" w:color="auto" w:sz="4" w:space="0"/>
              <w:bottom w:val="single" w:color="auto" w:sz="4" w:space="0"/>
              <w:right w:val="nil"/>
            </w:tcBorders>
            <w:noWrap w:val="0"/>
            <w:vAlign w:val="center"/>
          </w:tcPr>
          <w:p w14:paraId="4CB48F37">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44181DD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4727FE02">
            <w:pPr>
              <w:widowControl/>
              <w:spacing w:line="280" w:lineRule="exact"/>
              <w:ind w:firstLine="900" w:firstLineChars="500"/>
              <w:rPr>
                <w:rFonts w:cs="Calibri"/>
                <w:bCs/>
                <w:color w:val="auto"/>
                <w:kern w:val="0"/>
                <w:sz w:val="18"/>
                <w:szCs w:val="18"/>
                <w:highlight w:val="none"/>
              </w:rPr>
            </w:pPr>
            <w:r>
              <w:rPr>
                <w:rFonts w:cs="Calibri"/>
                <w:bCs/>
                <w:color w:val="auto"/>
                <w:kern w:val="0"/>
                <w:sz w:val="18"/>
                <w:szCs w:val="18"/>
                <w:highlight w:val="none"/>
              </w:rPr>
              <w:t>其中：拥有欧美日专利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41C454A7">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7104BEDD">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QJ82</w:t>
            </w:r>
          </w:p>
        </w:tc>
        <w:tc>
          <w:tcPr>
            <w:tcW w:w="1077" w:type="dxa"/>
            <w:tcBorders>
              <w:top w:val="single" w:color="auto" w:sz="4" w:space="0"/>
              <w:left w:val="single" w:color="auto" w:sz="4" w:space="0"/>
              <w:bottom w:val="single" w:color="auto" w:sz="4" w:space="0"/>
              <w:right w:val="nil"/>
            </w:tcBorders>
            <w:noWrap w:val="0"/>
            <w:vAlign w:val="center"/>
          </w:tcPr>
          <w:p w14:paraId="52D9FA66">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69EC2A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1D5329E0">
            <w:pPr>
              <w:widowControl/>
              <w:spacing w:line="280" w:lineRule="exact"/>
              <w:ind w:firstLine="360" w:firstLineChars="200"/>
              <w:rPr>
                <w:rFonts w:cs="Calibri"/>
                <w:bCs/>
                <w:color w:val="auto"/>
                <w:kern w:val="0"/>
                <w:sz w:val="18"/>
                <w:szCs w:val="18"/>
                <w:highlight w:val="none"/>
              </w:rPr>
            </w:pPr>
            <w:r>
              <w:rPr>
                <w:rFonts w:cs="Calibri"/>
                <w:bCs/>
                <w:color w:val="auto"/>
                <w:kern w:val="0"/>
                <w:sz w:val="18"/>
                <w:szCs w:val="18"/>
                <w:highlight w:val="none"/>
              </w:rPr>
              <w:t>其中：拥有发明专利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689AB0F1">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0217803B">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QJ73</w:t>
            </w:r>
          </w:p>
        </w:tc>
        <w:tc>
          <w:tcPr>
            <w:tcW w:w="1077" w:type="dxa"/>
            <w:tcBorders>
              <w:top w:val="single" w:color="auto" w:sz="4" w:space="0"/>
              <w:left w:val="single" w:color="auto" w:sz="4" w:space="0"/>
              <w:bottom w:val="single" w:color="auto" w:sz="4" w:space="0"/>
              <w:right w:val="nil"/>
            </w:tcBorders>
            <w:noWrap w:val="0"/>
            <w:vAlign w:val="center"/>
          </w:tcPr>
          <w:p w14:paraId="25EAEE49">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4BE40B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D38663C">
            <w:pPr>
              <w:widowControl/>
              <w:spacing w:line="280" w:lineRule="exact"/>
              <w:ind w:firstLine="900" w:firstLineChars="500"/>
              <w:rPr>
                <w:rFonts w:cs="Calibri"/>
                <w:bCs/>
                <w:color w:val="auto"/>
                <w:kern w:val="0"/>
                <w:sz w:val="18"/>
                <w:szCs w:val="18"/>
                <w:highlight w:val="none"/>
              </w:rPr>
            </w:pPr>
            <w:r>
              <w:rPr>
                <w:rFonts w:cs="Calibri"/>
                <w:bCs/>
                <w:color w:val="auto"/>
                <w:kern w:val="0"/>
                <w:sz w:val="18"/>
                <w:szCs w:val="18"/>
                <w:highlight w:val="none"/>
              </w:rPr>
              <w:t>其中：境外授权发明专利</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CADD6A2">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0C1178AB">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QJ73_1</w:t>
            </w:r>
          </w:p>
        </w:tc>
        <w:tc>
          <w:tcPr>
            <w:tcW w:w="1077" w:type="dxa"/>
            <w:tcBorders>
              <w:top w:val="single" w:color="auto" w:sz="4" w:space="0"/>
              <w:left w:val="single" w:color="auto" w:sz="4" w:space="0"/>
              <w:bottom w:val="single" w:color="auto" w:sz="4" w:space="0"/>
              <w:right w:val="nil"/>
            </w:tcBorders>
            <w:noWrap w:val="0"/>
            <w:vAlign w:val="center"/>
          </w:tcPr>
          <w:p w14:paraId="72113735">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201CDE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3868F0E5">
            <w:pPr>
              <w:widowControl/>
              <w:spacing w:line="280" w:lineRule="exact"/>
              <w:rPr>
                <w:rFonts w:cs="Calibri"/>
                <w:bCs/>
                <w:color w:val="auto"/>
                <w:kern w:val="0"/>
                <w:sz w:val="18"/>
                <w:szCs w:val="18"/>
                <w:highlight w:val="none"/>
              </w:rPr>
            </w:pPr>
            <w:r>
              <w:rPr>
                <w:rFonts w:cs="Calibri"/>
                <w:bCs/>
                <w:color w:val="auto"/>
                <w:kern w:val="0"/>
                <w:sz w:val="18"/>
                <w:szCs w:val="18"/>
                <w:highlight w:val="none"/>
              </w:rPr>
              <w:t>专利所有权转让及许可数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0861C984">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件</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4B365896">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QI23</w:t>
            </w:r>
          </w:p>
        </w:tc>
        <w:tc>
          <w:tcPr>
            <w:tcW w:w="1077" w:type="dxa"/>
            <w:tcBorders>
              <w:top w:val="single" w:color="auto" w:sz="4" w:space="0"/>
              <w:left w:val="single" w:color="auto" w:sz="4" w:space="0"/>
              <w:bottom w:val="single" w:color="auto" w:sz="4" w:space="0"/>
              <w:right w:val="nil"/>
            </w:tcBorders>
            <w:noWrap w:val="0"/>
            <w:vAlign w:val="center"/>
          </w:tcPr>
          <w:p w14:paraId="131D1A6E">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63F108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3D60FC4">
            <w:pPr>
              <w:widowControl/>
              <w:spacing w:line="280" w:lineRule="exact"/>
              <w:rPr>
                <w:rFonts w:cs="Calibri"/>
                <w:bCs/>
                <w:color w:val="auto"/>
                <w:kern w:val="0"/>
                <w:sz w:val="18"/>
                <w:szCs w:val="18"/>
                <w:highlight w:val="none"/>
              </w:rPr>
            </w:pPr>
            <w:r>
              <w:rPr>
                <w:rFonts w:cs="Calibri"/>
                <w:bCs/>
                <w:color w:val="auto"/>
                <w:kern w:val="0"/>
                <w:sz w:val="18"/>
                <w:szCs w:val="18"/>
                <w:highlight w:val="none"/>
              </w:rPr>
              <w:t>专利所有权转让及许可收入</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44B8C73">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千元</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46C1EAA7">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QI24</w:t>
            </w:r>
          </w:p>
        </w:tc>
        <w:tc>
          <w:tcPr>
            <w:tcW w:w="1077" w:type="dxa"/>
            <w:tcBorders>
              <w:top w:val="single" w:color="auto" w:sz="4" w:space="0"/>
              <w:left w:val="single" w:color="auto" w:sz="4" w:space="0"/>
              <w:bottom w:val="single" w:color="auto" w:sz="4" w:space="0"/>
              <w:right w:val="nil"/>
            </w:tcBorders>
            <w:noWrap w:val="0"/>
            <w:vAlign w:val="center"/>
          </w:tcPr>
          <w:p w14:paraId="6D4EA984">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6CA4917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2DA48370">
            <w:pPr>
              <w:widowControl/>
              <w:spacing w:line="280" w:lineRule="exact"/>
              <w:rPr>
                <w:rFonts w:cs="Calibri"/>
                <w:b/>
                <w:color w:val="auto"/>
                <w:kern w:val="0"/>
                <w:sz w:val="18"/>
                <w:szCs w:val="18"/>
                <w:highlight w:val="none"/>
              </w:rPr>
            </w:pPr>
            <w:r>
              <w:rPr>
                <w:rFonts w:cs="Calibri"/>
                <w:b/>
                <w:color w:val="auto"/>
                <w:kern w:val="0"/>
                <w:sz w:val="18"/>
                <w:szCs w:val="18"/>
                <w:highlight w:val="none"/>
              </w:rPr>
              <w:t>（二）新产品情况</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699DBEDB">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1C161B05">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w:t>
            </w:r>
          </w:p>
        </w:tc>
        <w:tc>
          <w:tcPr>
            <w:tcW w:w="1077" w:type="dxa"/>
            <w:tcBorders>
              <w:top w:val="single" w:color="auto" w:sz="4" w:space="0"/>
              <w:left w:val="single" w:color="auto" w:sz="4" w:space="0"/>
              <w:bottom w:val="single" w:color="auto" w:sz="4" w:space="0"/>
              <w:right w:val="nil"/>
            </w:tcBorders>
            <w:noWrap w:val="0"/>
            <w:vAlign w:val="center"/>
          </w:tcPr>
          <w:p w14:paraId="4FE06855">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w:t>
            </w:r>
          </w:p>
        </w:tc>
      </w:tr>
      <w:tr w14:paraId="5634D4E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27379DEC">
            <w:pPr>
              <w:widowControl/>
              <w:spacing w:line="280" w:lineRule="exact"/>
              <w:rPr>
                <w:rFonts w:cs="Calibri"/>
                <w:bCs/>
                <w:color w:val="auto"/>
                <w:kern w:val="0"/>
                <w:sz w:val="18"/>
                <w:szCs w:val="18"/>
                <w:highlight w:val="none"/>
              </w:rPr>
            </w:pPr>
            <w:r>
              <w:rPr>
                <w:rFonts w:cs="Calibri"/>
                <w:bCs/>
                <w:color w:val="auto"/>
                <w:kern w:val="0"/>
                <w:sz w:val="18"/>
                <w:szCs w:val="18"/>
                <w:highlight w:val="none"/>
              </w:rPr>
              <w:t>新产品产值</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022BBC2A">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千元</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431B847E">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QJ70</w:t>
            </w:r>
          </w:p>
        </w:tc>
        <w:tc>
          <w:tcPr>
            <w:tcW w:w="1077" w:type="dxa"/>
            <w:tcBorders>
              <w:top w:val="single" w:color="auto" w:sz="4" w:space="0"/>
              <w:left w:val="single" w:color="auto" w:sz="4" w:space="0"/>
              <w:bottom w:val="single" w:color="auto" w:sz="4" w:space="0"/>
              <w:right w:val="nil"/>
            </w:tcBorders>
            <w:noWrap w:val="0"/>
            <w:vAlign w:val="center"/>
          </w:tcPr>
          <w:p w14:paraId="45AFDEDB">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26106C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5C9BD7A1">
            <w:pPr>
              <w:widowControl/>
              <w:spacing w:line="280" w:lineRule="exact"/>
              <w:rPr>
                <w:rFonts w:cs="Calibri"/>
                <w:bCs/>
                <w:color w:val="auto"/>
                <w:kern w:val="0"/>
                <w:sz w:val="18"/>
                <w:szCs w:val="18"/>
                <w:highlight w:val="none"/>
              </w:rPr>
            </w:pPr>
            <w:r>
              <w:rPr>
                <w:rFonts w:cs="Calibri"/>
                <w:bCs/>
                <w:color w:val="auto"/>
                <w:kern w:val="0"/>
                <w:sz w:val="18"/>
                <w:szCs w:val="18"/>
                <w:highlight w:val="none"/>
              </w:rPr>
              <w:t>新产品销售收入</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4F797050">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千元</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621EB4E1">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QJ71</w:t>
            </w:r>
          </w:p>
        </w:tc>
        <w:tc>
          <w:tcPr>
            <w:tcW w:w="1077" w:type="dxa"/>
            <w:tcBorders>
              <w:top w:val="single" w:color="auto" w:sz="4" w:space="0"/>
              <w:left w:val="single" w:color="auto" w:sz="4" w:space="0"/>
              <w:bottom w:val="single" w:color="auto" w:sz="4" w:space="0"/>
              <w:right w:val="nil"/>
            </w:tcBorders>
            <w:noWrap w:val="0"/>
            <w:vAlign w:val="center"/>
          </w:tcPr>
          <w:p w14:paraId="7AB35E69">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5D87F6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3DB8F22D">
            <w:pPr>
              <w:widowControl/>
              <w:spacing w:line="280" w:lineRule="exact"/>
              <w:ind w:firstLine="360" w:firstLineChars="200"/>
              <w:rPr>
                <w:rFonts w:cs="Calibri"/>
                <w:bCs/>
                <w:color w:val="auto"/>
                <w:kern w:val="0"/>
                <w:sz w:val="18"/>
                <w:szCs w:val="18"/>
                <w:highlight w:val="none"/>
              </w:rPr>
            </w:pPr>
            <w:r>
              <w:rPr>
                <w:rFonts w:cs="Calibri"/>
                <w:bCs/>
                <w:color w:val="auto"/>
                <w:kern w:val="0"/>
                <w:sz w:val="18"/>
                <w:szCs w:val="18"/>
                <w:highlight w:val="none"/>
              </w:rPr>
              <w:t>其中：出口</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4F79B2DA">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千元</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098F7160">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QJ72</w:t>
            </w:r>
          </w:p>
        </w:tc>
        <w:tc>
          <w:tcPr>
            <w:tcW w:w="1077" w:type="dxa"/>
            <w:tcBorders>
              <w:top w:val="single" w:color="auto" w:sz="4" w:space="0"/>
              <w:left w:val="single" w:color="auto" w:sz="4" w:space="0"/>
              <w:bottom w:val="single" w:color="auto" w:sz="4" w:space="0"/>
              <w:right w:val="nil"/>
            </w:tcBorders>
            <w:noWrap w:val="0"/>
            <w:vAlign w:val="center"/>
          </w:tcPr>
          <w:p w14:paraId="038444C7">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r w14:paraId="0D8D71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18E11019">
            <w:pPr>
              <w:widowControl/>
              <w:spacing w:line="280" w:lineRule="exact"/>
              <w:rPr>
                <w:rFonts w:cs="Calibri"/>
                <w:b/>
                <w:color w:val="auto"/>
                <w:kern w:val="0"/>
                <w:sz w:val="18"/>
                <w:szCs w:val="18"/>
                <w:highlight w:val="none"/>
              </w:rPr>
            </w:pPr>
            <w:r>
              <w:rPr>
                <w:rFonts w:cs="Calibri"/>
                <w:b/>
                <w:color w:val="auto"/>
                <w:kern w:val="0"/>
                <w:sz w:val="18"/>
                <w:szCs w:val="18"/>
                <w:highlight w:val="none"/>
              </w:rPr>
              <w:t>（三）其他情况</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74B7FA6">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5603D0A9">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w:t>
            </w:r>
          </w:p>
        </w:tc>
        <w:tc>
          <w:tcPr>
            <w:tcW w:w="1077" w:type="dxa"/>
            <w:tcBorders>
              <w:top w:val="single" w:color="auto" w:sz="4" w:space="0"/>
              <w:left w:val="single" w:color="auto" w:sz="4" w:space="0"/>
              <w:bottom w:val="single" w:color="auto" w:sz="4" w:space="0"/>
              <w:right w:val="nil"/>
            </w:tcBorders>
            <w:noWrap w:val="0"/>
            <w:vAlign w:val="center"/>
          </w:tcPr>
          <w:p w14:paraId="29B56422">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r>
              <w:rPr>
                <w:rFonts w:ascii="Times New Roman" w:hAnsi="Times New Roman"/>
                <w:bCs/>
                <w:color w:val="auto"/>
                <w:kern w:val="0"/>
                <w:sz w:val="18"/>
                <w:szCs w:val="18"/>
                <w:highlight w:val="none"/>
              </w:rPr>
              <w:t>—</w:t>
            </w:r>
          </w:p>
        </w:tc>
      </w:tr>
      <w:tr w14:paraId="102A6E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87" w:hRule="atLeast"/>
          <w:jc w:val="center"/>
        </w:trPr>
        <w:tc>
          <w:tcPr>
            <w:tcW w:w="6332" w:type="dxa"/>
            <w:tcBorders>
              <w:top w:val="single" w:color="auto" w:sz="4" w:space="0"/>
              <w:bottom w:val="single" w:color="auto" w:sz="8" w:space="0"/>
              <w:right w:val="single" w:color="auto" w:sz="4" w:space="0"/>
            </w:tcBorders>
            <w:noWrap w:val="0"/>
            <w:vAlign w:val="center"/>
          </w:tcPr>
          <w:p w14:paraId="0863015F">
            <w:pPr>
              <w:widowControl/>
              <w:spacing w:line="280" w:lineRule="exact"/>
              <w:rPr>
                <w:rFonts w:cs="Calibri"/>
                <w:bCs/>
                <w:color w:val="auto"/>
                <w:kern w:val="0"/>
                <w:sz w:val="18"/>
                <w:szCs w:val="18"/>
                <w:highlight w:val="none"/>
              </w:rPr>
            </w:pPr>
            <w:r>
              <w:rPr>
                <w:rFonts w:cs="Calibri"/>
                <w:bCs/>
                <w:color w:val="auto"/>
                <w:kern w:val="0"/>
                <w:sz w:val="18"/>
                <w:szCs w:val="18"/>
                <w:highlight w:val="none"/>
              </w:rPr>
              <w:t>发表科技论文</w:t>
            </w:r>
          </w:p>
        </w:tc>
        <w:tc>
          <w:tcPr>
            <w:tcW w:w="996" w:type="dxa"/>
            <w:tcBorders>
              <w:top w:val="single" w:color="auto" w:sz="4" w:space="0"/>
              <w:left w:val="single" w:color="auto" w:sz="4" w:space="0"/>
              <w:bottom w:val="single" w:color="auto" w:sz="8" w:space="0"/>
              <w:right w:val="single" w:color="auto" w:sz="4" w:space="0"/>
            </w:tcBorders>
            <w:noWrap w:val="0"/>
            <w:vAlign w:val="center"/>
          </w:tcPr>
          <w:p w14:paraId="69E05763">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篇</w:t>
            </w:r>
          </w:p>
        </w:tc>
        <w:tc>
          <w:tcPr>
            <w:tcW w:w="982" w:type="dxa"/>
            <w:tcBorders>
              <w:top w:val="single" w:color="auto" w:sz="4" w:space="0"/>
              <w:left w:val="single" w:color="auto" w:sz="4" w:space="0"/>
              <w:bottom w:val="single" w:color="auto" w:sz="8" w:space="0"/>
              <w:right w:val="single" w:color="auto" w:sz="4" w:space="0"/>
            </w:tcBorders>
            <w:noWrap w:val="0"/>
            <w:vAlign w:val="center"/>
          </w:tcPr>
          <w:p w14:paraId="6A0C0409">
            <w:pPr>
              <w:widowControl/>
              <w:spacing w:line="280" w:lineRule="exact"/>
              <w:ind w:left="-1" w:leftChars="-50" w:right="-105" w:rightChars="-50" w:hanging="104" w:hangingChars="58"/>
              <w:jc w:val="center"/>
              <w:rPr>
                <w:rFonts w:cs="Calibri"/>
                <w:bCs/>
                <w:color w:val="auto"/>
                <w:kern w:val="0"/>
                <w:sz w:val="18"/>
                <w:szCs w:val="18"/>
                <w:highlight w:val="none"/>
              </w:rPr>
            </w:pPr>
            <w:r>
              <w:rPr>
                <w:rFonts w:cs="Calibri"/>
                <w:bCs/>
                <w:color w:val="auto"/>
                <w:kern w:val="0"/>
                <w:sz w:val="18"/>
                <w:szCs w:val="18"/>
                <w:highlight w:val="none"/>
              </w:rPr>
              <w:t>QI25</w:t>
            </w:r>
          </w:p>
        </w:tc>
        <w:tc>
          <w:tcPr>
            <w:tcW w:w="1077" w:type="dxa"/>
            <w:tcBorders>
              <w:top w:val="single" w:color="auto" w:sz="4" w:space="0"/>
              <w:left w:val="single" w:color="auto" w:sz="4" w:space="0"/>
              <w:bottom w:val="single" w:color="auto" w:sz="8" w:space="0"/>
              <w:right w:val="nil"/>
            </w:tcBorders>
            <w:noWrap w:val="0"/>
            <w:vAlign w:val="center"/>
          </w:tcPr>
          <w:p w14:paraId="1B0C3F2D">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rPr>
            </w:pPr>
          </w:p>
        </w:tc>
      </w:tr>
    </w:tbl>
    <w:p w14:paraId="25352AB9">
      <w:pPr>
        <w:rPr>
          <w:bCs/>
          <w:color w:val="auto"/>
          <w:highlight w:val="none"/>
        </w:rPr>
      </w:pPr>
      <w:r>
        <w:rPr>
          <w:bCs/>
          <w:color w:val="auto"/>
          <w:kern w:val="0"/>
          <w:sz w:val="18"/>
          <w:szCs w:val="18"/>
          <w:highlight w:val="none"/>
        </w:rPr>
        <w:t>续表二：</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332"/>
        <w:gridCol w:w="996"/>
        <w:gridCol w:w="995"/>
        <w:gridCol w:w="1050"/>
      </w:tblGrid>
      <w:tr w14:paraId="17DE18D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8" w:space="0"/>
              <w:bottom w:val="single" w:color="auto" w:sz="4" w:space="0"/>
              <w:right w:val="single" w:color="auto" w:sz="4" w:space="0"/>
            </w:tcBorders>
            <w:noWrap w:val="0"/>
            <w:vAlign w:val="center"/>
          </w:tcPr>
          <w:p w14:paraId="11D95EAB">
            <w:pPr>
              <w:spacing w:line="280" w:lineRule="exact"/>
              <w:jc w:val="center"/>
              <w:rPr>
                <w:bCs/>
                <w:color w:val="auto"/>
                <w:sz w:val="18"/>
                <w:szCs w:val="18"/>
                <w:highlight w:val="none"/>
              </w:rPr>
            </w:pPr>
            <w:r>
              <w:rPr>
                <w:bCs/>
                <w:color w:val="auto"/>
                <w:sz w:val="18"/>
                <w:szCs w:val="18"/>
                <w:highlight w:val="none"/>
              </w:rPr>
              <w:t>指 标 名 称</w:t>
            </w:r>
          </w:p>
        </w:tc>
        <w:tc>
          <w:tcPr>
            <w:tcW w:w="996" w:type="dxa"/>
            <w:tcBorders>
              <w:top w:val="single" w:color="auto" w:sz="8" w:space="0"/>
              <w:left w:val="single" w:color="auto" w:sz="4" w:space="0"/>
              <w:bottom w:val="single" w:color="auto" w:sz="4" w:space="0"/>
              <w:right w:val="single" w:color="auto" w:sz="4" w:space="0"/>
            </w:tcBorders>
            <w:noWrap w:val="0"/>
            <w:vAlign w:val="center"/>
          </w:tcPr>
          <w:p w14:paraId="28C01AB0">
            <w:pPr>
              <w:spacing w:line="280" w:lineRule="exact"/>
              <w:jc w:val="center"/>
              <w:rPr>
                <w:bCs/>
                <w:color w:val="auto"/>
                <w:sz w:val="18"/>
                <w:szCs w:val="18"/>
                <w:highlight w:val="none"/>
              </w:rPr>
            </w:pPr>
            <w:r>
              <w:rPr>
                <w:bCs/>
                <w:color w:val="auto"/>
                <w:sz w:val="18"/>
                <w:szCs w:val="18"/>
                <w:highlight w:val="none"/>
              </w:rPr>
              <w:t>计量单位</w:t>
            </w:r>
          </w:p>
        </w:tc>
        <w:tc>
          <w:tcPr>
            <w:tcW w:w="995" w:type="dxa"/>
            <w:tcBorders>
              <w:top w:val="single" w:color="auto" w:sz="8" w:space="0"/>
              <w:left w:val="single" w:color="auto" w:sz="4" w:space="0"/>
              <w:bottom w:val="single" w:color="auto" w:sz="4" w:space="0"/>
              <w:right w:val="single" w:color="auto" w:sz="4" w:space="0"/>
            </w:tcBorders>
            <w:noWrap w:val="0"/>
            <w:vAlign w:val="center"/>
          </w:tcPr>
          <w:p w14:paraId="7CA571FA">
            <w:pPr>
              <w:spacing w:line="280" w:lineRule="exact"/>
              <w:jc w:val="center"/>
              <w:rPr>
                <w:bCs/>
                <w:color w:val="auto"/>
                <w:szCs w:val="24"/>
                <w:highlight w:val="none"/>
              </w:rPr>
            </w:pPr>
            <w:r>
              <w:rPr>
                <w:bCs/>
                <w:color w:val="auto"/>
                <w:sz w:val="18"/>
                <w:szCs w:val="18"/>
                <w:highlight w:val="none"/>
              </w:rPr>
              <w:t>代码</w:t>
            </w:r>
          </w:p>
        </w:tc>
        <w:tc>
          <w:tcPr>
            <w:tcW w:w="1050" w:type="dxa"/>
            <w:tcBorders>
              <w:top w:val="single" w:color="auto" w:sz="8" w:space="0"/>
              <w:left w:val="single" w:color="auto" w:sz="4" w:space="0"/>
              <w:bottom w:val="single" w:color="auto" w:sz="4" w:space="0"/>
              <w:right w:val="nil"/>
            </w:tcBorders>
            <w:noWrap w:val="0"/>
            <w:vAlign w:val="center"/>
          </w:tcPr>
          <w:p w14:paraId="051B52B2">
            <w:pPr>
              <w:spacing w:line="280" w:lineRule="exact"/>
              <w:jc w:val="center"/>
              <w:rPr>
                <w:bCs/>
                <w:color w:val="auto"/>
                <w:sz w:val="18"/>
                <w:szCs w:val="18"/>
                <w:highlight w:val="none"/>
              </w:rPr>
            </w:pPr>
            <w:r>
              <w:rPr>
                <w:bCs/>
                <w:color w:val="auto"/>
                <w:sz w:val="18"/>
                <w:szCs w:val="18"/>
                <w:highlight w:val="none"/>
              </w:rPr>
              <w:t>数量</w:t>
            </w:r>
          </w:p>
        </w:tc>
      </w:tr>
      <w:tr w14:paraId="3EA01D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1F12B387">
            <w:pPr>
              <w:widowControl/>
              <w:spacing w:line="280" w:lineRule="exact"/>
              <w:jc w:val="center"/>
              <w:rPr>
                <w:bCs/>
                <w:color w:val="auto"/>
                <w:kern w:val="0"/>
                <w:sz w:val="18"/>
                <w:szCs w:val="18"/>
                <w:highlight w:val="none"/>
              </w:rPr>
            </w:pPr>
            <w:r>
              <w:rPr>
                <w:bCs/>
                <w:color w:val="auto"/>
                <w:kern w:val="0"/>
                <w:sz w:val="18"/>
                <w:szCs w:val="18"/>
                <w:highlight w:val="none"/>
              </w:rPr>
              <w:t>甲</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0064615B">
            <w:pPr>
              <w:spacing w:line="280" w:lineRule="exact"/>
              <w:jc w:val="center"/>
              <w:rPr>
                <w:bCs/>
                <w:color w:val="auto"/>
                <w:kern w:val="0"/>
                <w:sz w:val="18"/>
                <w:szCs w:val="18"/>
                <w:highlight w:val="none"/>
              </w:rPr>
            </w:pPr>
            <w:r>
              <w:rPr>
                <w:bCs/>
                <w:color w:val="auto"/>
                <w:kern w:val="0"/>
                <w:sz w:val="18"/>
                <w:szCs w:val="18"/>
                <w:highlight w:val="none"/>
              </w:rPr>
              <w:t>乙</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428431F4">
            <w:pPr>
              <w:spacing w:line="280" w:lineRule="exact"/>
              <w:jc w:val="center"/>
              <w:rPr>
                <w:bCs/>
                <w:color w:val="auto"/>
                <w:kern w:val="0"/>
                <w:sz w:val="18"/>
                <w:szCs w:val="18"/>
                <w:highlight w:val="none"/>
              </w:rPr>
            </w:pPr>
            <w:r>
              <w:rPr>
                <w:bCs/>
                <w:color w:val="auto"/>
                <w:kern w:val="0"/>
                <w:sz w:val="18"/>
                <w:szCs w:val="18"/>
                <w:highlight w:val="none"/>
              </w:rPr>
              <w:t>丙</w:t>
            </w:r>
          </w:p>
        </w:tc>
        <w:tc>
          <w:tcPr>
            <w:tcW w:w="1050" w:type="dxa"/>
            <w:tcBorders>
              <w:top w:val="single" w:color="auto" w:sz="4" w:space="0"/>
              <w:left w:val="single" w:color="auto" w:sz="4" w:space="0"/>
              <w:bottom w:val="single" w:color="auto" w:sz="4" w:space="0"/>
              <w:right w:val="nil"/>
            </w:tcBorders>
            <w:noWrap w:val="0"/>
            <w:vAlign w:val="center"/>
          </w:tcPr>
          <w:p w14:paraId="74881A95">
            <w:pPr>
              <w:spacing w:line="280" w:lineRule="exact"/>
              <w:jc w:val="center"/>
              <w:rPr>
                <w:bCs/>
                <w:color w:val="auto"/>
                <w:kern w:val="0"/>
                <w:sz w:val="18"/>
                <w:szCs w:val="18"/>
                <w:highlight w:val="none"/>
              </w:rPr>
            </w:pPr>
            <w:r>
              <w:rPr>
                <w:bCs/>
                <w:color w:val="auto"/>
                <w:kern w:val="0"/>
                <w:sz w:val="18"/>
                <w:szCs w:val="18"/>
                <w:highlight w:val="none"/>
              </w:rPr>
              <w:t>1</w:t>
            </w:r>
          </w:p>
        </w:tc>
      </w:tr>
      <w:tr w14:paraId="2F0328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3DD091CC">
            <w:pPr>
              <w:widowControl/>
              <w:spacing w:line="280" w:lineRule="exact"/>
              <w:rPr>
                <w:rFonts w:cs="Calibri"/>
                <w:bCs/>
                <w:color w:val="auto"/>
                <w:kern w:val="0"/>
                <w:sz w:val="18"/>
                <w:szCs w:val="18"/>
                <w:highlight w:val="none"/>
                <w:lang w:val="en-US" w:eastAsia="zh-CN" w:bidi="ar-SA"/>
              </w:rPr>
            </w:pPr>
            <w:r>
              <w:rPr>
                <w:rFonts w:cs="Calibri"/>
                <w:bCs/>
                <w:color w:val="auto"/>
                <w:kern w:val="0"/>
                <w:sz w:val="18"/>
                <w:szCs w:val="18"/>
                <w:highlight w:val="none"/>
              </w:rPr>
              <w:t>期末拥有注册商标</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37D83FA5">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365383D3">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QJ79</w:t>
            </w:r>
          </w:p>
        </w:tc>
        <w:tc>
          <w:tcPr>
            <w:tcW w:w="1050" w:type="dxa"/>
            <w:tcBorders>
              <w:top w:val="single" w:color="auto" w:sz="4" w:space="0"/>
              <w:left w:val="single" w:color="auto" w:sz="4" w:space="0"/>
              <w:bottom w:val="single" w:color="auto" w:sz="4" w:space="0"/>
              <w:right w:val="nil"/>
            </w:tcBorders>
            <w:noWrap w:val="0"/>
            <w:vAlign w:val="center"/>
          </w:tcPr>
          <w:p w14:paraId="4C0C0C75">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705A0E9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EA3C2CE">
            <w:pPr>
              <w:widowControl/>
              <w:spacing w:line="280" w:lineRule="exact"/>
              <w:ind w:firstLine="360" w:firstLineChars="200"/>
              <w:rPr>
                <w:rFonts w:cs="Calibri"/>
                <w:bCs/>
                <w:color w:val="auto"/>
                <w:kern w:val="0"/>
                <w:sz w:val="18"/>
                <w:szCs w:val="18"/>
                <w:highlight w:val="none"/>
                <w:lang w:val="en-US" w:eastAsia="zh-CN" w:bidi="ar-SA"/>
              </w:rPr>
            </w:pPr>
            <w:r>
              <w:rPr>
                <w:rFonts w:cs="Calibri"/>
                <w:bCs/>
                <w:color w:val="auto"/>
                <w:kern w:val="0"/>
                <w:sz w:val="18"/>
                <w:szCs w:val="18"/>
                <w:highlight w:val="none"/>
              </w:rPr>
              <w:t>其中：当年注册商标</w:t>
            </w:r>
          </w:p>
        </w:tc>
        <w:tc>
          <w:tcPr>
            <w:tcW w:w="996" w:type="dxa"/>
            <w:tcBorders>
              <w:top w:val="single" w:color="auto" w:sz="4" w:space="0"/>
              <w:left w:val="single" w:color="auto" w:sz="4" w:space="0"/>
              <w:bottom w:val="single" w:color="auto" w:sz="4" w:space="0"/>
              <w:right w:val="single" w:color="auto" w:sz="4" w:space="0"/>
            </w:tcBorders>
            <w:noWrap w:val="0"/>
            <w:vAlign w:val="top"/>
          </w:tcPr>
          <w:p w14:paraId="7B6DA5A1">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70831EE5">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QJ77</w:t>
            </w:r>
          </w:p>
        </w:tc>
        <w:tc>
          <w:tcPr>
            <w:tcW w:w="1050" w:type="dxa"/>
            <w:tcBorders>
              <w:top w:val="single" w:color="auto" w:sz="4" w:space="0"/>
              <w:left w:val="single" w:color="auto" w:sz="4" w:space="0"/>
              <w:bottom w:val="single" w:color="auto" w:sz="4" w:space="0"/>
              <w:right w:val="nil"/>
            </w:tcBorders>
            <w:noWrap w:val="0"/>
            <w:vAlign w:val="center"/>
          </w:tcPr>
          <w:p w14:paraId="5FA7E7F0">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414BAB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C85181D">
            <w:pPr>
              <w:widowControl/>
              <w:spacing w:line="280" w:lineRule="exact"/>
              <w:ind w:firstLine="360" w:firstLineChars="200"/>
              <w:rPr>
                <w:rFonts w:cs="Calibri"/>
                <w:bCs/>
                <w:color w:val="auto"/>
                <w:kern w:val="0"/>
                <w:sz w:val="18"/>
                <w:szCs w:val="18"/>
                <w:highlight w:val="none"/>
                <w:lang w:val="en-US" w:eastAsia="zh-CN" w:bidi="ar-SA"/>
              </w:rPr>
            </w:pPr>
            <w:r>
              <w:rPr>
                <w:rFonts w:cs="Calibri"/>
                <w:bCs/>
                <w:color w:val="auto"/>
                <w:kern w:val="0"/>
                <w:sz w:val="18"/>
                <w:szCs w:val="18"/>
                <w:highlight w:val="none"/>
              </w:rPr>
              <w:t>其中：境外注册商标</w:t>
            </w:r>
          </w:p>
        </w:tc>
        <w:tc>
          <w:tcPr>
            <w:tcW w:w="996" w:type="dxa"/>
            <w:tcBorders>
              <w:top w:val="single" w:color="auto" w:sz="4" w:space="0"/>
              <w:left w:val="single" w:color="auto" w:sz="4" w:space="0"/>
              <w:bottom w:val="single" w:color="auto" w:sz="4" w:space="0"/>
              <w:right w:val="single" w:color="auto" w:sz="4" w:space="0"/>
            </w:tcBorders>
            <w:noWrap w:val="0"/>
            <w:vAlign w:val="top"/>
          </w:tcPr>
          <w:p w14:paraId="3267A5E2">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6B30FF69">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QJ79_1</w:t>
            </w:r>
          </w:p>
        </w:tc>
        <w:tc>
          <w:tcPr>
            <w:tcW w:w="1050" w:type="dxa"/>
            <w:tcBorders>
              <w:top w:val="single" w:color="auto" w:sz="4" w:space="0"/>
              <w:left w:val="single" w:color="auto" w:sz="4" w:space="0"/>
              <w:bottom w:val="single" w:color="auto" w:sz="4" w:space="0"/>
              <w:right w:val="nil"/>
            </w:tcBorders>
            <w:noWrap w:val="0"/>
            <w:vAlign w:val="center"/>
          </w:tcPr>
          <w:p w14:paraId="403AA8EB">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23D0593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A41FB99">
            <w:pPr>
              <w:widowControl/>
              <w:spacing w:line="280" w:lineRule="exact"/>
              <w:ind w:firstLine="900" w:firstLineChars="500"/>
              <w:rPr>
                <w:rFonts w:cs="Calibri"/>
                <w:bCs/>
                <w:color w:val="auto"/>
                <w:kern w:val="0"/>
                <w:sz w:val="18"/>
                <w:szCs w:val="18"/>
                <w:highlight w:val="none"/>
                <w:lang w:val="en-US" w:eastAsia="zh-CN" w:bidi="ar-SA"/>
              </w:rPr>
            </w:pPr>
            <w:r>
              <w:rPr>
                <w:rFonts w:cs="Calibri"/>
                <w:bCs/>
                <w:color w:val="auto"/>
                <w:kern w:val="0"/>
                <w:sz w:val="18"/>
                <w:szCs w:val="18"/>
                <w:highlight w:val="none"/>
              </w:rPr>
              <w:t>其中：当年境外注册商标</w:t>
            </w:r>
          </w:p>
        </w:tc>
        <w:tc>
          <w:tcPr>
            <w:tcW w:w="996" w:type="dxa"/>
            <w:tcBorders>
              <w:top w:val="single" w:color="auto" w:sz="4" w:space="0"/>
              <w:left w:val="single" w:color="auto" w:sz="4" w:space="0"/>
              <w:bottom w:val="single" w:color="auto" w:sz="4" w:space="0"/>
              <w:right w:val="single" w:color="auto" w:sz="4" w:space="0"/>
            </w:tcBorders>
            <w:noWrap w:val="0"/>
            <w:vAlign w:val="top"/>
          </w:tcPr>
          <w:p w14:paraId="70A4E8CE">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3BCE445A">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QJ79_2</w:t>
            </w:r>
          </w:p>
        </w:tc>
        <w:tc>
          <w:tcPr>
            <w:tcW w:w="1050" w:type="dxa"/>
            <w:tcBorders>
              <w:top w:val="single" w:color="auto" w:sz="4" w:space="0"/>
              <w:left w:val="single" w:color="auto" w:sz="4" w:space="0"/>
              <w:bottom w:val="single" w:color="auto" w:sz="4" w:space="0"/>
              <w:right w:val="nil"/>
            </w:tcBorders>
            <w:noWrap w:val="0"/>
            <w:vAlign w:val="center"/>
          </w:tcPr>
          <w:p w14:paraId="7CFD6F52">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40836F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1E00723">
            <w:pPr>
              <w:widowControl/>
              <w:spacing w:line="280" w:lineRule="exact"/>
              <w:rPr>
                <w:rFonts w:cs="Calibri"/>
                <w:bCs/>
                <w:color w:val="auto"/>
                <w:kern w:val="0"/>
                <w:sz w:val="18"/>
                <w:szCs w:val="18"/>
                <w:highlight w:val="none"/>
                <w:lang w:val="en-US" w:eastAsia="zh-CN" w:bidi="ar-SA"/>
              </w:rPr>
            </w:pPr>
            <w:r>
              <w:rPr>
                <w:rFonts w:cs="Calibri"/>
                <w:bCs/>
                <w:color w:val="auto"/>
                <w:kern w:val="0"/>
                <w:sz w:val="18"/>
                <w:szCs w:val="18"/>
                <w:highlight w:val="none"/>
              </w:rPr>
              <w:t>拥有软件著作权</w:t>
            </w:r>
          </w:p>
        </w:tc>
        <w:tc>
          <w:tcPr>
            <w:tcW w:w="996" w:type="dxa"/>
            <w:tcBorders>
              <w:top w:val="single" w:color="auto" w:sz="4" w:space="0"/>
              <w:left w:val="single" w:color="auto" w:sz="4" w:space="0"/>
              <w:bottom w:val="single" w:color="auto" w:sz="4" w:space="0"/>
              <w:right w:val="single" w:color="auto" w:sz="4" w:space="0"/>
            </w:tcBorders>
            <w:noWrap w:val="0"/>
            <w:vAlign w:val="top"/>
          </w:tcPr>
          <w:p w14:paraId="051C29AA">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5449A48E">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QJ85</w:t>
            </w:r>
          </w:p>
        </w:tc>
        <w:tc>
          <w:tcPr>
            <w:tcW w:w="1050" w:type="dxa"/>
            <w:tcBorders>
              <w:top w:val="single" w:color="auto" w:sz="4" w:space="0"/>
              <w:left w:val="single" w:color="auto" w:sz="4" w:space="0"/>
              <w:bottom w:val="single" w:color="auto" w:sz="4" w:space="0"/>
              <w:right w:val="nil"/>
            </w:tcBorders>
            <w:noWrap w:val="0"/>
            <w:vAlign w:val="center"/>
          </w:tcPr>
          <w:p w14:paraId="2D301C56">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5A7C24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75D6BE9">
            <w:pPr>
              <w:widowControl/>
              <w:spacing w:line="280" w:lineRule="exact"/>
              <w:ind w:firstLine="360" w:firstLineChars="200"/>
              <w:rPr>
                <w:rFonts w:cs="Calibri"/>
                <w:bCs/>
                <w:color w:val="auto"/>
                <w:kern w:val="0"/>
                <w:sz w:val="18"/>
                <w:szCs w:val="18"/>
                <w:highlight w:val="none"/>
                <w:lang w:val="en-US" w:eastAsia="zh-CN" w:bidi="ar-SA"/>
              </w:rPr>
            </w:pPr>
            <w:r>
              <w:rPr>
                <w:rFonts w:cs="Calibri"/>
                <w:bCs/>
                <w:color w:val="auto"/>
                <w:kern w:val="0"/>
                <w:sz w:val="18"/>
                <w:szCs w:val="18"/>
                <w:highlight w:val="none"/>
              </w:rPr>
              <w:t>其中：当年获得软件著作权</w:t>
            </w:r>
          </w:p>
        </w:tc>
        <w:tc>
          <w:tcPr>
            <w:tcW w:w="996" w:type="dxa"/>
            <w:tcBorders>
              <w:top w:val="single" w:color="auto" w:sz="4" w:space="0"/>
              <w:left w:val="single" w:color="auto" w:sz="4" w:space="0"/>
              <w:bottom w:val="single" w:color="auto" w:sz="4" w:space="0"/>
              <w:right w:val="single" w:color="auto" w:sz="4" w:space="0"/>
            </w:tcBorders>
            <w:noWrap w:val="0"/>
            <w:vAlign w:val="top"/>
          </w:tcPr>
          <w:p w14:paraId="1D36FF4E">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192B661F">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QJ85_1</w:t>
            </w:r>
          </w:p>
        </w:tc>
        <w:tc>
          <w:tcPr>
            <w:tcW w:w="1050" w:type="dxa"/>
            <w:tcBorders>
              <w:top w:val="single" w:color="auto" w:sz="4" w:space="0"/>
              <w:left w:val="single" w:color="auto" w:sz="4" w:space="0"/>
              <w:bottom w:val="single" w:color="auto" w:sz="4" w:space="0"/>
              <w:right w:val="nil"/>
            </w:tcBorders>
            <w:noWrap w:val="0"/>
            <w:vAlign w:val="center"/>
          </w:tcPr>
          <w:p w14:paraId="2B0717A4">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1FE2185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58875D88">
            <w:pPr>
              <w:widowControl/>
              <w:spacing w:line="280" w:lineRule="exact"/>
              <w:rPr>
                <w:rFonts w:cs="Calibri"/>
                <w:bCs/>
                <w:color w:val="auto"/>
                <w:kern w:val="0"/>
                <w:sz w:val="18"/>
                <w:szCs w:val="18"/>
                <w:highlight w:val="none"/>
                <w:lang w:val="en-US" w:eastAsia="zh-CN" w:bidi="ar-SA"/>
              </w:rPr>
            </w:pPr>
            <w:r>
              <w:rPr>
                <w:rFonts w:cs="Calibri"/>
                <w:bCs/>
                <w:color w:val="auto"/>
                <w:kern w:val="0"/>
                <w:sz w:val="18"/>
                <w:szCs w:val="18"/>
                <w:highlight w:val="none"/>
              </w:rPr>
              <w:t>拥有集成电路布图</w:t>
            </w:r>
          </w:p>
        </w:tc>
        <w:tc>
          <w:tcPr>
            <w:tcW w:w="996" w:type="dxa"/>
            <w:tcBorders>
              <w:top w:val="single" w:color="auto" w:sz="4" w:space="0"/>
              <w:left w:val="single" w:color="auto" w:sz="4" w:space="0"/>
              <w:bottom w:val="single" w:color="auto" w:sz="4" w:space="0"/>
              <w:right w:val="single" w:color="auto" w:sz="4" w:space="0"/>
            </w:tcBorders>
            <w:noWrap w:val="0"/>
            <w:vAlign w:val="top"/>
          </w:tcPr>
          <w:p w14:paraId="736F22AD">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C5E4638">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QJ86</w:t>
            </w:r>
          </w:p>
        </w:tc>
        <w:tc>
          <w:tcPr>
            <w:tcW w:w="1050" w:type="dxa"/>
            <w:tcBorders>
              <w:top w:val="single" w:color="auto" w:sz="4" w:space="0"/>
              <w:left w:val="single" w:color="auto" w:sz="4" w:space="0"/>
              <w:bottom w:val="single" w:color="auto" w:sz="4" w:space="0"/>
              <w:right w:val="nil"/>
            </w:tcBorders>
            <w:noWrap w:val="0"/>
            <w:vAlign w:val="center"/>
          </w:tcPr>
          <w:p w14:paraId="3CD72AEA">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3E2A43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E702EFB">
            <w:pPr>
              <w:widowControl/>
              <w:spacing w:line="280" w:lineRule="exact"/>
              <w:ind w:firstLine="360" w:firstLineChars="200"/>
              <w:rPr>
                <w:rFonts w:cs="Calibri"/>
                <w:bCs/>
                <w:color w:val="auto"/>
                <w:kern w:val="0"/>
                <w:sz w:val="18"/>
                <w:szCs w:val="18"/>
                <w:highlight w:val="none"/>
                <w:lang w:val="en-US" w:eastAsia="zh-CN" w:bidi="ar-SA"/>
              </w:rPr>
            </w:pPr>
            <w:r>
              <w:rPr>
                <w:rFonts w:cs="Calibri"/>
                <w:bCs/>
                <w:color w:val="auto"/>
                <w:kern w:val="0"/>
                <w:sz w:val="18"/>
                <w:szCs w:val="18"/>
                <w:highlight w:val="none"/>
              </w:rPr>
              <w:t>其中：当年获得集成电路布图</w:t>
            </w:r>
          </w:p>
        </w:tc>
        <w:tc>
          <w:tcPr>
            <w:tcW w:w="996" w:type="dxa"/>
            <w:tcBorders>
              <w:top w:val="single" w:color="auto" w:sz="4" w:space="0"/>
              <w:left w:val="single" w:color="auto" w:sz="4" w:space="0"/>
              <w:bottom w:val="single" w:color="auto" w:sz="4" w:space="0"/>
              <w:right w:val="single" w:color="auto" w:sz="4" w:space="0"/>
            </w:tcBorders>
            <w:noWrap w:val="0"/>
            <w:vAlign w:val="top"/>
          </w:tcPr>
          <w:p w14:paraId="073E8BBA">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8B9139C">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QJ86_1</w:t>
            </w:r>
          </w:p>
        </w:tc>
        <w:tc>
          <w:tcPr>
            <w:tcW w:w="1050" w:type="dxa"/>
            <w:tcBorders>
              <w:top w:val="single" w:color="auto" w:sz="4" w:space="0"/>
              <w:left w:val="single" w:color="auto" w:sz="4" w:space="0"/>
              <w:bottom w:val="single" w:color="auto" w:sz="4" w:space="0"/>
              <w:right w:val="nil"/>
            </w:tcBorders>
            <w:noWrap w:val="0"/>
            <w:vAlign w:val="center"/>
          </w:tcPr>
          <w:p w14:paraId="743266C5">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629A59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208A192">
            <w:pPr>
              <w:widowControl/>
              <w:spacing w:line="280" w:lineRule="exact"/>
              <w:rPr>
                <w:rFonts w:cs="Calibri"/>
                <w:bCs/>
                <w:color w:val="auto"/>
                <w:kern w:val="0"/>
                <w:sz w:val="18"/>
                <w:szCs w:val="18"/>
                <w:highlight w:val="none"/>
                <w:lang w:val="en-US" w:eastAsia="zh-CN" w:bidi="ar-SA"/>
              </w:rPr>
            </w:pPr>
            <w:r>
              <w:rPr>
                <w:rFonts w:cs="Calibri"/>
                <w:bCs/>
                <w:color w:val="auto"/>
                <w:kern w:val="0"/>
                <w:sz w:val="18"/>
                <w:szCs w:val="18"/>
                <w:highlight w:val="none"/>
              </w:rPr>
              <w:t>拥有植物新品种</w:t>
            </w:r>
          </w:p>
        </w:tc>
        <w:tc>
          <w:tcPr>
            <w:tcW w:w="996" w:type="dxa"/>
            <w:tcBorders>
              <w:top w:val="single" w:color="auto" w:sz="4" w:space="0"/>
              <w:left w:val="single" w:color="auto" w:sz="4" w:space="0"/>
              <w:bottom w:val="single" w:color="auto" w:sz="4" w:space="0"/>
              <w:right w:val="single" w:color="auto" w:sz="4" w:space="0"/>
            </w:tcBorders>
            <w:noWrap w:val="0"/>
            <w:vAlign w:val="top"/>
          </w:tcPr>
          <w:p w14:paraId="56A81A43">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5C432C83">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QJ87</w:t>
            </w:r>
          </w:p>
        </w:tc>
        <w:tc>
          <w:tcPr>
            <w:tcW w:w="1050" w:type="dxa"/>
            <w:tcBorders>
              <w:top w:val="single" w:color="auto" w:sz="4" w:space="0"/>
              <w:left w:val="single" w:color="auto" w:sz="4" w:space="0"/>
              <w:bottom w:val="single" w:color="auto" w:sz="4" w:space="0"/>
              <w:right w:val="nil"/>
            </w:tcBorders>
            <w:noWrap w:val="0"/>
            <w:vAlign w:val="center"/>
          </w:tcPr>
          <w:p w14:paraId="10002A4D">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0A1A61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13571D3">
            <w:pPr>
              <w:widowControl/>
              <w:spacing w:line="280" w:lineRule="exact"/>
              <w:ind w:firstLine="360" w:firstLineChars="200"/>
              <w:rPr>
                <w:rFonts w:cs="Calibri"/>
                <w:bCs/>
                <w:color w:val="auto"/>
                <w:kern w:val="0"/>
                <w:sz w:val="18"/>
                <w:szCs w:val="18"/>
                <w:highlight w:val="none"/>
                <w:lang w:val="en-US" w:eastAsia="zh-CN" w:bidi="ar-SA"/>
              </w:rPr>
            </w:pPr>
            <w:r>
              <w:rPr>
                <w:rFonts w:cs="Calibri"/>
                <w:bCs/>
                <w:color w:val="auto"/>
                <w:kern w:val="0"/>
                <w:sz w:val="18"/>
                <w:szCs w:val="18"/>
                <w:highlight w:val="none"/>
              </w:rPr>
              <w:t>其中：当年获得植物新品种</w:t>
            </w:r>
          </w:p>
        </w:tc>
        <w:tc>
          <w:tcPr>
            <w:tcW w:w="996" w:type="dxa"/>
            <w:tcBorders>
              <w:top w:val="single" w:color="auto" w:sz="4" w:space="0"/>
              <w:left w:val="single" w:color="auto" w:sz="4" w:space="0"/>
              <w:bottom w:val="single" w:color="auto" w:sz="4" w:space="0"/>
              <w:right w:val="single" w:color="auto" w:sz="4" w:space="0"/>
            </w:tcBorders>
            <w:noWrap w:val="0"/>
            <w:vAlign w:val="top"/>
          </w:tcPr>
          <w:p w14:paraId="132EF2B5">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2FCC68EC">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QJ87_1</w:t>
            </w:r>
          </w:p>
        </w:tc>
        <w:tc>
          <w:tcPr>
            <w:tcW w:w="1050" w:type="dxa"/>
            <w:tcBorders>
              <w:top w:val="single" w:color="auto" w:sz="4" w:space="0"/>
              <w:left w:val="single" w:color="auto" w:sz="4" w:space="0"/>
              <w:bottom w:val="single" w:color="auto" w:sz="4" w:space="0"/>
              <w:right w:val="nil"/>
            </w:tcBorders>
            <w:noWrap w:val="0"/>
            <w:vAlign w:val="center"/>
          </w:tcPr>
          <w:p w14:paraId="319FEBA7">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4C74DC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2F595526">
            <w:pPr>
              <w:widowControl/>
              <w:spacing w:line="280" w:lineRule="exact"/>
              <w:rPr>
                <w:rFonts w:cs="Calibri"/>
                <w:bCs/>
                <w:color w:val="auto"/>
                <w:kern w:val="0"/>
                <w:sz w:val="18"/>
                <w:szCs w:val="18"/>
                <w:highlight w:val="none"/>
                <w:lang w:val="en-US" w:eastAsia="zh-CN" w:bidi="ar-SA"/>
              </w:rPr>
            </w:pPr>
            <w:r>
              <w:rPr>
                <w:rFonts w:cs="Calibri"/>
                <w:bCs/>
                <w:color w:val="auto"/>
                <w:kern w:val="0"/>
                <w:sz w:val="18"/>
                <w:szCs w:val="18"/>
                <w:highlight w:val="none"/>
              </w:rPr>
              <w:t>拥有国家一类新药品种</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7C82E990">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25FDEBF5">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QJ101</w:t>
            </w:r>
          </w:p>
        </w:tc>
        <w:tc>
          <w:tcPr>
            <w:tcW w:w="1050" w:type="dxa"/>
            <w:tcBorders>
              <w:top w:val="single" w:color="auto" w:sz="4" w:space="0"/>
              <w:left w:val="single" w:color="auto" w:sz="4" w:space="0"/>
              <w:bottom w:val="single" w:color="auto" w:sz="4" w:space="0"/>
              <w:right w:val="nil"/>
            </w:tcBorders>
            <w:noWrap w:val="0"/>
            <w:vAlign w:val="center"/>
          </w:tcPr>
          <w:p w14:paraId="6D0427F4">
            <w:pPr>
              <w:widowControl/>
              <w:spacing w:line="280" w:lineRule="exact"/>
              <w:ind w:left="-1" w:leftChars="-50" w:right="-105" w:rightChars="-50" w:hanging="104" w:hangingChars="58"/>
              <w:jc w:val="center"/>
              <w:rPr>
                <w:rFonts w:ascii="Times New Roman" w:hAnsi="Times New Roman"/>
                <w:bCs/>
                <w:color w:val="auto"/>
                <w:kern w:val="0"/>
                <w:sz w:val="18"/>
                <w:szCs w:val="18"/>
                <w:highlight w:val="none"/>
                <w:lang w:val="en-US" w:eastAsia="zh-CN" w:bidi="ar-SA"/>
              </w:rPr>
            </w:pPr>
          </w:p>
        </w:tc>
      </w:tr>
      <w:tr w14:paraId="171BAF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C58281F">
            <w:pPr>
              <w:widowControl/>
              <w:spacing w:line="280" w:lineRule="exact"/>
              <w:ind w:firstLine="360" w:firstLineChars="200"/>
              <w:rPr>
                <w:rFonts w:cs="Calibri"/>
                <w:bCs/>
                <w:color w:val="auto"/>
                <w:kern w:val="0"/>
                <w:sz w:val="18"/>
                <w:szCs w:val="18"/>
                <w:highlight w:val="none"/>
                <w:lang w:val="en-US" w:eastAsia="zh-CN" w:bidi="ar-SA"/>
              </w:rPr>
            </w:pPr>
            <w:r>
              <w:rPr>
                <w:rFonts w:cs="Calibri"/>
                <w:bCs/>
                <w:color w:val="auto"/>
                <w:kern w:val="0"/>
                <w:sz w:val="18"/>
                <w:szCs w:val="18"/>
                <w:highlight w:val="none"/>
              </w:rPr>
              <w:t>其中：当年获得国家一类新药证书</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4883CB66">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72F4793">
            <w:pPr>
              <w:widowControl/>
              <w:spacing w:line="280" w:lineRule="exact"/>
              <w:ind w:left="-1" w:leftChars="-50" w:right="-105" w:rightChars="-50" w:hanging="104" w:hangingChars="58"/>
              <w:jc w:val="center"/>
              <w:rPr>
                <w:rFonts w:cs="Calibri"/>
                <w:bCs/>
                <w:color w:val="auto"/>
                <w:kern w:val="0"/>
                <w:sz w:val="18"/>
                <w:szCs w:val="18"/>
                <w:highlight w:val="none"/>
                <w:lang w:val="en-US" w:eastAsia="zh-CN" w:bidi="ar-SA"/>
              </w:rPr>
            </w:pPr>
            <w:r>
              <w:rPr>
                <w:rFonts w:cs="Calibri"/>
                <w:bCs/>
                <w:color w:val="auto"/>
                <w:kern w:val="0"/>
                <w:sz w:val="18"/>
                <w:szCs w:val="18"/>
                <w:highlight w:val="none"/>
              </w:rPr>
              <w:t>QJ101_1</w:t>
            </w:r>
          </w:p>
        </w:tc>
        <w:tc>
          <w:tcPr>
            <w:tcW w:w="1050" w:type="dxa"/>
            <w:tcBorders>
              <w:top w:val="single" w:color="auto" w:sz="4" w:space="0"/>
              <w:left w:val="single" w:color="auto" w:sz="4" w:space="0"/>
              <w:bottom w:val="single" w:color="auto" w:sz="4" w:space="0"/>
              <w:right w:val="nil"/>
            </w:tcBorders>
            <w:noWrap w:val="0"/>
            <w:vAlign w:val="center"/>
          </w:tcPr>
          <w:p w14:paraId="7C1FE6E8">
            <w:pPr>
              <w:widowControl/>
              <w:spacing w:line="280" w:lineRule="exact"/>
              <w:ind w:left="-1" w:leftChars="-50" w:right="-105" w:rightChars="-50" w:hanging="104" w:hangingChars="58"/>
              <w:jc w:val="center"/>
              <w:rPr>
                <w:bCs/>
                <w:color w:val="auto"/>
                <w:kern w:val="0"/>
                <w:sz w:val="18"/>
                <w:szCs w:val="18"/>
                <w:highlight w:val="none"/>
                <w:lang w:val="en-US" w:eastAsia="zh-CN" w:bidi="ar-SA"/>
              </w:rPr>
            </w:pPr>
          </w:p>
        </w:tc>
      </w:tr>
      <w:tr w14:paraId="554144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524F210D">
            <w:pPr>
              <w:widowControl/>
              <w:spacing w:line="280" w:lineRule="exact"/>
              <w:rPr>
                <w:bCs/>
                <w:color w:val="auto"/>
                <w:kern w:val="0"/>
                <w:sz w:val="18"/>
                <w:szCs w:val="18"/>
                <w:highlight w:val="none"/>
                <w:lang w:val="en-US" w:eastAsia="zh-CN" w:bidi="ar-SA"/>
              </w:rPr>
            </w:pPr>
            <w:r>
              <w:rPr>
                <w:bCs/>
                <w:color w:val="auto"/>
                <w:kern w:val="0"/>
                <w:sz w:val="18"/>
                <w:szCs w:val="18"/>
                <w:highlight w:val="none"/>
              </w:rPr>
              <w:t>拥有国家一级中药保护品种</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08134173">
            <w:pPr>
              <w:widowControl/>
              <w:spacing w:line="280" w:lineRule="exact"/>
              <w:ind w:left="-1" w:leftChars="-50" w:right="-105" w:rightChars="-50" w:hanging="104" w:hangingChars="58"/>
              <w:jc w:val="center"/>
              <w:rPr>
                <w:bCs/>
                <w:color w:val="auto"/>
                <w:kern w:val="0"/>
                <w:sz w:val="18"/>
                <w:szCs w:val="18"/>
                <w:highlight w:val="none"/>
                <w:lang w:val="en-US" w:eastAsia="zh-CN" w:bidi="ar-SA"/>
              </w:rPr>
            </w:pPr>
            <w:r>
              <w:rPr>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5A520F5E">
            <w:pPr>
              <w:widowControl/>
              <w:spacing w:line="280" w:lineRule="exact"/>
              <w:ind w:left="-1" w:leftChars="-50" w:right="-105" w:rightChars="-50" w:hanging="104" w:hangingChars="58"/>
              <w:jc w:val="center"/>
              <w:rPr>
                <w:bCs/>
                <w:color w:val="auto"/>
                <w:kern w:val="0"/>
                <w:sz w:val="18"/>
                <w:szCs w:val="18"/>
                <w:highlight w:val="none"/>
                <w:lang w:val="en-US" w:eastAsia="zh-CN" w:bidi="ar-SA"/>
              </w:rPr>
            </w:pPr>
            <w:r>
              <w:rPr>
                <w:bCs/>
                <w:color w:val="auto"/>
                <w:kern w:val="0"/>
                <w:sz w:val="18"/>
                <w:szCs w:val="18"/>
                <w:highlight w:val="none"/>
              </w:rPr>
              <w:t>QJ100</w:t>
            </w:r>
          </w:p>
        </w:tc>
        <w:tc>
          <w:tcPr>
            <w:tcW w:w="1050" w:type="dxa"/>
            <w:tcBorders>
              <w:top w:val="single" w:color="auto" w:sz="4" w:space="0"/>
              <w:left w:val="single" w:color="auto" w:sz="4" w:space="0"/>
              <w:bottom w:val="single" w:color="auto" w:sz="4" w:space="0"/>
              <w:right w:val="nil"/>
            </w:tcBorders>
            <w:noWrap w:val="0"/>
            <w:vAlign w:val="center"/>
          </w:tcPr>
          <w:p w14:paraId="7FF55542">
            <w:pPr>
              <w:widowControl/>
              <w:spacing w:line="280" w:lineRule="exact"/>
              <w:ind w:left="-1" w:leftChars="-50" w:right="-105" w:rightChars="-50" w:hanging="104" w:hangingChars="58"/>
              <w:jc w:val="center"/>
              <w:rPr>
                <w:bCs/>
                <w:color w:val="auto"/>
                <w:kern w:val="0"/>
                <w:sz w:val="18"/>
                <w:szCs w:val="18"/>
                <w:highlight w:val="none"/>
                <w:lang w:val="en-US" w:eastAsia="zh-CN" w:bidi="ar-SA"/>
              </w:rPr>
            </w:pPr>
          </w:p>
        </w:tc>
      </w:tr>
      <w:tr w14:paraId="60D13D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10AE7386">
            <w:pPr>
              <w:widowControl/>
              <w:spacing w:line="280" w:lineRule="exact"/>
              <w:ind w:firstLine="360" w:firstLineChars="200"/>
              <w:rPr>
                <w:bCs/>
                <w:color w:val="auto"/>
                <w:kern w:val="0"/>
                <w:sz w:val="18"/>
                <w:szCs w:val="18"/>
                <w:highlight w:val="none"/>
              </w:rPr>
            </w:pPr>
            <w:r>
              <w:rPr>
                <w:bCs/>
                <w:color w:val="auto"/>
                <w:kern w:val="0"/>
                <w:sz w:val="18"/>
                <w:szCs w:val="18"/>
                <w:highlight w:val="none"/>
              </w:rPr>
              <w:t>其中：当年获得国家一级中药保护品种证书</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00DA296F">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件</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FBCBC54">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QJ100_1</w:t>
            </w:r>
          </w:p>
        </w:tc>
        <w:tc>
          <w:tcPr>
            <w:tcW w:w="1050" w:type="dxa"/>
            <w:tcBorders>
              <w:top w:val="single" w:color="auto" w:sz="4" w:space="0"/>
              <w:left w:val="single" w:color="auto" w:sz="4" w:space="0"/>
              <w:bottom w:val="single" w:color="auto" w:sz="4" w:space="0"/>
              <w:right w:val="nil"/>
            </w:tcBorders>
            <w:noWrap w:val="0"/>
            <w:vAlign w:val="center"/>
          </w:tcPr>
          <w:p w14:paraId="1C6F5228">
            <w:pPr>
              <w:widowControl/>
              <w:spacing w:line="280" w:lineRule="exact"/>
              <w:ind w:left="-1" w:leftChars="-50" w:right="-105" w:rightChars="-50" w:hanging="104" w:hangingChars="58"/>
              <w:jc w:val="center"/>
              <w:rPr>
                <w:bCs/>
                <w:color w:val="auto"/>
                <w:kern w:val="0"/>
                <w:sz w:val="18"/>
                <w:szCs w:val="18"/>
                <w:highlight w:val="none"/>
              </w:rPr>
            </w:pPr>
          </w:p>
        </w:tc>
      </w:tr>
      <w:tr w14:paraId="1D26C1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1F74867">
            <w:pPr>
              <w:widowControl/>
              <w:spacing w:line="280" w:lineRule="exact"/>
              <w:rPr>
                <w:bCs/>
                <w:color w:val="auto"/>
                <w:kern w:val="0"/>
                <w:sz w:val="18"/>
                <w:szCs w:val="18"/>
                <w:highlight w:val="none"/>
              </w:rPr>
            </w:pPr>
            <w:r>
              <w:rPr>
                <w:bCs/>
                <w:color w:val="auto"/>
                <w:kern w:val="0"/>
                <w:sz w:val="18"/>
                <w:szCs w:val="18"/>
                <w:highlight w:val="none"/>
              </w:rPr>
              <w:t>累计形成国际标准</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6E275B5B">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2EEFE663">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QJ98</w:t>
            </w:r>
          </w:p>
        </w:tc>
        <w:tc>
          <w:tcPr>
            <w:tcW w:w="1050" w:type="dxa"/>
            <w:tcBorders>
              <w:top w:val="single" w:color="auto" w:sz="4" w:space="0"/>
              <w:left w:val="single" w:color="auto" w:sz="4" w:space="0"/>
              <w:bottom w:val="single" w:color="auto" w:sz="4" w:space="0"/>
              <w:right w:val="nil"/>
            </w:tcBorders>
            <w:noWrap w:val="0"/>
            <w:vAlign w:val="center"/>
          </w:tcPr>
          <w:p w14:paraId="09EE45C8">
            <w:pPr>
              <w:widowControl/>
              <w:spacing w:line="280" w:lineRule="exact"/>
              <w:ind w:left="-1" w:leftChars="-50" w:right="-105" w:rightChars="-50" w:hanging="104" w:hangingChars="58"/>
              <w:jc w:val="center"/>
              <w:rPr>
                <w:bCs/>
                <w:color w:val="auto"/>
                <w:kern w:val="0"/>
                <w:sz w:val="18"/>
                <w:szCs w:val="18"/>
                <w:highlight w:val="none"/>
              </w:rPr>
            </w:pPr>
          </w:p>
        </w:tc>
      </w:tr>
      <w:tr w14:paraId="2F5D7E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EE839D1">
            <w:pPr>
              <w:widowControl/>
              <w:spacing w:line="280" w:lineRule="exact"/>
              <w:ind w:firstLine="360" w:firstLineChars="200"/>
              <w:rPr>
                <w:bCs/>
                <w:color w:val="auto"/>
                <w:kern w:val="0"/>
                <w:sz w:val="18"/>
                <w:szCs w:val="18"/>
                <w:highlight w:val="none"/>
              </w:rPr>
            </w:pPr>
            <w:r>
              <w:rPr>
                <w:bCs/>
                <w:color w:val="auto"/>
                <w:kern w:val="0"/>
                <w:sz w:val="18"/>
                <w:szCs w:val="18"/>
                <w:highlight w:val="none"/>
              </w:rPr>
              <w:t>其中：当年形成国际标准</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13AE174E">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2786CC05">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QJ98_1</w:t>
            </w:r>
          </w:p>
        </w:tc>
        <w:tc>
          <w:tcPr>
            <w:tcW w:w="1050" w:type="dxa"/>
            <w:tcBorders>
              <w:top w:val="single" w:color="auto" w:sz="4" w:space="0"/>
              <w:left w:val="single" w:color="auto" w:sz="4" w:space="0"/>
              <w:bottom w:val="single" w:color="auto" w:sz="4" w:space="0"/>
              <w:right w:val="nil"/>
            </w:tcBorders>
            <w:noWrap w:val="0"/>
            <w:vAlign w:val="center"/>
          </w:tcPr>
          <w:p w14:paraId="44A00B1B">
            <w:pPr>
              <w:widowControl/>
              <w:spacing w:line="280" w:lineRule="exact"/>
              <w:ind w:left="-1" w:leftChars="-50" w:right="-105" w:rightChars="-50" w:hanging="104" w:hangingChars="58"/>
              <w:jc w:val="center"/>
              <w:rPr>
                <w:bCs/>
                <w:color w:val="auto"/>
                <w:kern w:val="0"/>
                <w:sz w:val="18"/>
                <w:szCs w:val="18"/>
                <w:highlight w:val="none"/>
              </w:rPr>
            </w:pPr>
          </w:p>
        </w:tc>
      </w:tr>
      <w:tr w14:paraId="5C0662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45F94EC">
            <w:pPr>
              <w:widowControl/>
              <w:spacing w:line="280" w:lineRule="exact"/>
              <w:rPr>
                <w:bCs/>
                <w:color w:val="auto"/>
                <w:kern w:val="0"/>
                <w:sz w:val="18"/>
                <w:szCs w:val="18"/>
                <w:highlight w:val="none"/>
              </w:rPr>
            </w:pPr>
            <w:r>
              <w:rPr>
                <w:bCs/>
                <w:color w:val="auto"/>
                <w:kern w:val="0"/>
                <w:sz w:val="18"/>
                <w:szCs w:val="18"/>
                <w:highlight w:val="none"/>
              </w:rPr>
              <w:t>累计形成国家或行业标准</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B222B45">
            <w:pPr>
              <w:spacing w:line="280" w:lineRule="exact"/>
              <w:jc w:val="center"/>
              <w:rPr>
                <w:bCs/>
                <w:color w:val="auto"/>
                <w:kern w:val="0"/>
                <w:sz w:val="18"/>
                <w:szCs w:val="18"/>
                <w:highlight w:val="none"/>
              </w:rPr>
            </w:pPr>
            <w:r>
              <w:rPr>
                <w:bCs/>
                <w:color w:val="auto"/>
                <w:kern w:val="0"/>
                <w:sz w:val="18"/>
                <w:szCs w:val="18"/>
                <w:highlight w:val="none"/>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3EA8EF9C">
            <w:pPr>
              <w:spacing w:line="280" w:lineRule="exact"/>
              <w:jc w:val="center"/>
              <w:rPr>
                <w:bCs/>
                <w:color w:val="auto"/>
                <w:kern w:val="0"/>
                <w:sz w:val="18"/>
                <w:szCs w:val="18"/>
                <w:highlight w:val="none"/>
              </w:rPr>
            </w:pPr>
            <w:r>
              <w:rPr>
                <w:bCs/>
                <w:color w:val="auto"/>
                <w:kern w:val="0"/>
                <w:sz w:val="18"/>
                <w:szCs w:val="18"/>
                <w:highlight w:val="none"/>
              </w:rPr>
              <w:t>QI27</w:t>
            </w:r>
          </w:p>
        </w:tc>
        <w:tc>
          <w:tcPr>
            <w:tcW w:w="1050" w:type="dxa"/>
            <w:tcBorders>
              <w:top w:val="single" w:color="auto" w:sz="4" w:space="0"/>
              <w:left w:val="single" w:color="auto" w:sz="4" w:space="0"/>
              <w:bottom w:val="single" w:color="auto" w:sz="4" w:space="0"/>
              <w:right w:val="nil"/>
            </w:tcBorders>
            <w:noWrap w:val="0"/>
            <w:vAlign w:val="center"/>
          </w:tcPr>
          <w:p w14:paraId="2C5B9C37">
            <w:pPr>
              <w:widowControl/>
              <w:spacing w:line="280" w:lineRule="exact"/>
              <w:ind w:left="-1" w:leftChars="-50" w:right="-105" w:rightChars="-50" w:hanging="104" w:hangingChars="58"/>
              <w:jc w:val="center"/>
              <w:rPr>
                <w:bCs/>
                <w:color w:val="auto"/>
                <w:kern w:val="0"/>
                <w:sz w:val="18"/>
                <w:szCs w:val="18"/>
                <w:highlight w:val="none"/>
              </w:rPr>
            </w:pPr>
          </w:p>
        </w:tc>
      </w:tr>
      <w:tr w14:paraId="29C4BC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5AF1D725">
            <w:pPr>
              <w:widowControl/>
              <w:spacing w:line="280" w:lineRule="exact"/>
              <w:ind w:firstLine="360" w:firstLineChars="200"/>
              <w:rPr>
                <w:bCs/>
                <w:color w:val="auto"/>
                <w:kern w:val="0"/>
                <w:sz w:val="18"/>
                <w:szCs w:val="18"/>
                <w:highlight w:val="none"/>
              </w:rPr>
            </w:pPr>
            <w:r>
              <w:rPr>
                <w:bCs/>
                <w:color w:val="auto"/>
                <w:kern w:val="0"/>
                <w:sz w:val="18"/>
                <w:szCs w:val="18"/>
                <w:highlight w:val="none"/>
              </w:rPr>
              <w:t>其中：当年形成国家或行业标准</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313E3ABC">
            <w:pPr>
              <w:spacing w:line="280" w:lineRule="exact"/>
              <w:jc w:val="center"/>
              <w:rPr>
                <w:bCs/>
                <w:color w:val="auto"/>
                <w:kern w:val="0"/>
                <w:sz w:val="18"/>
                <w:szCs w:val="18"/>
                <w:highlight w:val="none"/>
              </w:rPr>
            </w:pPr>
            <w:r>
              <w:rPr>
                <w:bCs/>
                <w:color w:val="auto"/>
                <w:kern w:val="0"/>
                <w:sz w:val="18"/>
                <w:szCs w:val="18"/>
                <w:highlight w:val="none"/>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0FD4866">
            <w:pPr>
              <w:spacing w:line="280" w:lineRule="exact"/>
              <w:jc w:val="center"/>
              <w:rPr>
                <w:bCs/>
                <w:color w:val="auto"/>
                <w:kern w:val="0"/>
                <w:sz w:val="18"/>
                <w:szCs w:val="18"/>
                <w:highlight w:val="none"/>
              </w:rPr>
            </w:pPr>
            <w:r>
              <w:rPr>
                <w:bCs/>
                <w:color w:val="auto"/>
                <w:kern w:val="0"/>
                <w:sz w:val="18"/>
                <w:szCs w:val="18"/>
                <w:highlight w:val="none"/>
              </w:rPr>
              <w:t>QI27_1</w:t>
            </w:r>
          </w:p>
        </w:tc>
        <w:tc>
          <w:tcPr>
            <w:tcW w:w="1050" w:type="dxa"/>
            <w:tcBorders>
              <w:top w:val="single" w:color="auto" w:sz="4" w:space="0"/>
              <w:left w:val="single" w:color="auto" w:sz="4" w:space="0"/>
              <w:bottom w:val="single" w:color="auto" w:sz="4" w:space="0"/>
              <w:right w:val="nil"/>
            </w:tcBorders>
            <w:noWrap w:val="0"/>
            <w:vAlign w:val="center"/>
          </w:tcPr>
          <w:p w14:paraId="52C722A9">
            <w:pPr>
              <w:spacing w:line="280" w:lineRule="exact"/>
              <w:jc w:val="center"/>
              <w:rPr>
                <w:bCs/>
                <w:color w:val="auto"/>
                <w:kern w:val="0"/>
                <w:sz w:val="18"/>
                <w:szCs w:val="18"/>
                <w:highlight w:val="none"/>
              </w:rPr>
            </w:pPr>
          </w:p>
        </w:tc>
      </w:tr>
      <w:tr w14:paraId="7E8F42E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33BC3766">
            <w:pPr>
              <w:widowControl/>
              <w:spacing w:line="280" w:lineRule="exact"/>
              <w:ind w:firstLine="0" w:firstLineChars="0"/>
              <w:rPr>
                <w:rFonts w:hint="default"/>
                <w:bCs/>
                <w:color w:val="auto"/>
                <w:kern w:val="0"/>
                <w:sz w:val="18"/>
                <w:szCs w:val="18"/>
                <w:highlight w:val="none"/>
                <w:lang w:val="en-US" w:eastAsia="zh-CN"/>
              </w:rPr>
            </w:pPr>
            <w:r>
              <w:rPr>
                <w:rFonts w:hint="eastAsia"/>
                <w:bCs/>
                <w:color w:val="auto"/>
                <w:kern w:val="0"/>
                <w:sz w:val="18"/>
                <w:szCs w:val="18"/>
                <w:highlight w:val="none"/>
                <w:lang w:val="en-US" w:eastAsia="zh-CN"/>
              </w:rPr>
              <w:t>近两年承担建设省级及以上研发或创新平台数量</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7FC31A0">
            <w:pPr>
              <w:spacing w:line="280" w:lineRule="exact"/>
              <w:jc w:val="center"/>
              <w:rPr>
                <w:rFonts w:hint="eastAsia" w:eastAsia="宋体"/>
                <w:bCs/>
                <w:color w:val="auto"/>
                <w:kern w:val="0"/>
                <w:sz w:val="18"/>
                <w:szCs w:val="18"/>
                <w:highlight w:val="none"/>
                <w:lang w:val="en-US" w:eastAsia="zh-CN"/>
              </w:rPr>
            </w:pPr>
            <w:r>
              <w:rPr>
                <w:rFonts w:hint="eastAsia"/>
                <w:bCs/>
                <w:color w:val="auto"/>
                <w:kern w:val="0"/>
                <w:sz w:val="18"/>
                <w:szCs w:val="18"/>
                <w:highlight w:val="none"/>
                <w:lang w:val="en-US" w:eastAsia="zh-CN"/>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5889631F">
            <w:pPr>
              <w:spacing w:line="280" w:lineRule="exact"/>
              <w:jc w:val="center"/>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QI29</w:t>
            </w:r>
          </w:p>
        </w:tc>
        <w:tc>
          <w:tcPr>
            <w:tcW w:w="1050" w:type="dxa"/>
            <w:tcBorders>
              <w:top w:val="single" w:color="auto" w:sz="4" w:space="0"/>
              <w:left w:val="single" w:color="auto" w:sz="4" w:space="0"/>
              <w:bottom w:val="single" w:color="auto" w:sz="4" w:space="0"/>
              <w:right w:val="nil"/>
            </w:tcBorders>
            <w:noWrap w:val="0"/>
            <w:vAlign w:val="center"/>
          </w:tcPr>
          <w:p w14:paraId="7B32C362">
            <w:pPr>
              <w:spacing w:line="280" w:lineRule="exact"/>
              <w:jc w:val="center"/>
              <w:rPr>
                <w:bCs/>
                <w:color w:val="auto"/>
                <w:kern w:val="0"/>
                <w:sz w:val="18"/>
                <w:szCs w:val="18"/>
                <w:highlight w:val="none"/>
              </w:rPr>
            </w:pPr>
          </w:p>
        </w:tc>
      </w:tr>
      <w:tr w14:paraId="4928A65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53334416">
            <w:pPr>
              <w:widowControl/>
              <w:spacing w:line="280" w:lineRule="exact"/>
              <w:ind w:firstLine="0" w:firstLineChars="0"/>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近两年获得省级及以上科技奖励数量</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7110DB6">
            <w:pPr>
              <w:spacing w:line="280" w:lineRule="exact"/>
              <w:jc w:val="center"/>
              <w:rPr>
                <w:rFonts w:hint="eastAsia" w:eastAsia="宋体"/>
                <w:bCs/>
                <w:color w:val="auto"/>
                <w:kern w:val="0"/>
                <w:sz w:val="18"/>
                <w:szCs w:val="18"/>
                <w:highlight w:val="none"/>
                <w:lang w:val="en-US" w:eastAsia="zh-CN"/>
              </w:rPr>
            </w:pPr>
            <w:r>
              <w:rPr>
                <w:rFonts w:hint="eastAsia"/>
                <w:bCs/>
                <w:color w:val="auto"/>
                <w:kern w:val="0"/>
                <w:sz w:val="18"/>
                <w:szCs w:val="18"/>
                <w:highlight w:val="none"/>
                <w:lang w:val="en-US" w:eastAsia="zh-CN"/>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4A7B061">
            <w:pPr>
              <w:spacing w:line="280" w:lineRule="exact"/>
              <w:jc w:val="center"/>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QI30</w:t>
            </w:r>
          </w:p>
        </w:tc>
        <w:tc>
          <w:tcPr>
            <w:tcW w:w="1050" w:type="dxa"/>
            <w:tcBorders>
              <w:top w:val="single" w:color="auto" w:sz="4" w:space="0"/>
              <w:left w:val="single" w:color="auto" w:sz="4" w:space="0"/>
              <w:bottom w:val="single" w:color="auto" w:sz="4" w:space="0"/>
              <w:right w:val="nil"/>
            </w:tcBorders>
            <w:noWrap w:val="0"/>
            <w:vAlign w:val="center"/>
          </w:tcPr>
          <w:p w14:paraId="24D604D8">
            <w:pPr>
              <w:spacing w:line="280" w:lineRule="exact"/>
              <w:jc w:val="center"/>
              <w:rPr>
                <w:bCs/>
                <w:color w:val="auto"/>
                <w:kern w:val="0"/>
                <w:sz w:val="18"/>
                <w:szCs w:val="18"/>
                <w:highlight w:val="none"/>
              </w:rPr>
            </w:pPr>
          </w:p>
        </w:tc>
      </w:tr>
      <w:tr w14:paraId="1D603B7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86D50C3">
            <w:pPr>
              <w:widowControl/>
              <w:spacing w:line="280" w:lineRule="exact"/>
              <w:ind w:firstLine="0" w:firstLineChars="0"/>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近两年承担省级及以上科技计划项目数量</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CBCFFBD">
            <w:pPr>
              <w:spacing w:line="280" w:lineRule="exact"/>
              <w:jc w:val="center"/>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3DFD503B">
            <w:pPr>
              <w:spacing w:line="280" w:lineRule="exact"/>
              <w:jc w:val="center"/>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QI31</w:t>
            </w:r>
          </w:p>
        </w:tc>
        <w:tc>
          <w:tcPr>
            <w:tcW w:w="1050" w:type="dxa"/>
            <w:tcBorders>
              <w:top w:val="single" w:color="auto" w:sz="4" w:space="0"/>
              <w:left w:val="single" w:color="auto" w:sz="4" w:space="0"/>
              <w:bottom w:val="single" w:color="auto" w:sz="4" w:space="0"/>
              <w:right w:val="nil"/>
            </w:tcBorders>
            <w:noWrap w:val="0"/>
            <w:vAlign w:val="center"/>
          </w:tcPr>
          <w:p w14:paraId="2E7F5332">
            <w:pPr>
              <w:spacing w:line="280" w:lineRule="exact"/>
              <w:jc w:val="center"/>
              <w:rPr>
                <w:bCs/>
                <w:color w:val="auto"/>
                <w:kern w:val="0"/>
                <w:sz w:val="18"/>
                <w:szCs w:val="18"/>
                <w:highlight w:val="none"/>
              </w:rPr>
            </w:pPr>
          </w:p>
        </w:tc>
      </w:tr>
      <w:tr w14:paraId="75ED280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95D89DD">
            <w:pPr>
              <w:widowControl/>
              <w:spacing w:line="280" w:lineRule="exact"/>
              <w:rPr>
                <w:b/>
                <w:color w:val="auto"/>
                <w:kern w:val="0"/>
                <w:sz w:val="18"/>
                <w:szCs w:val="18"/>
                <w:highlight w:val="none"/>
              </w:rPr>
            </w:pPr>
            <w:r>
              <w:rPr>
                <w:b/>
                <w:color w:val="auto"/>
                <w:kern w:val="0"/>
                <w:sz w:val="18"/>
                <w:szCs w:val="18"/>
                <w:highlight w:val="none"/>
              </w:rPr>
              <w:t>七、技术合同交易情况</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336715AC">
            <w:pPr>
              <w:spacing w:line="280" w:lineRule="exact"/>
              <w:jc w:val="center"/>
              <w:rPr>
                <w:bCs/>
                <w:color w:val="auto"/>
                <w:szCs w:val="24"/>
                <w:highlight w:val="none"/>
              </w:rPr>
            </w:pPr>
            <w:r>
              <w:rPr>
                <w:bCs/>
                <w:color w:val="auto"/>
                <w:kern w:val="0"/>
                <w:sz w:val="18"/>
                <w:szCs w:val="18"/>
                <w:highlight w:val="none"/>
              </w:rPr>
              <w:t>—</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902C185">
            <w:pPr>
              <w:spacing w:line="280" w:lineRule="exact"/>
              <w:jc w:val="center"/>
              <w:rPr>
                <w:bCs/>
                <w:color w:val="auto"/>
                <w:szCs w:val="24"/>
                <w:highlight w:val="none"/>
              </w:rPr>
            </w:pPr>
            <w:r>
              <w:rPr>
                <w:bCs/>
                <w:color w:val="auto"/>
                <w:kern w:val="0"/>
                <w:sz w:val="18"/>
                <w:szCs w:val="18"/>
                <w:highlight w:val="none"/>
              </w:rPr>
              <w:t>—</w:t>
            </w:r>
          </w:p>
        </w:tc>
        <w:tc>
          <w:tcPr>
            <w:tcW w:w="1050" w:type="dxa"/>
            <w:tcBorders>
              <w:top w:val="single" w:color="auto" w:sz="4" w:space="0"/>
              <w:left w:val="single" w:color="auto" w:sz="4" w:space="0"/>
              <w:bottom w:val="single" w:color="auto" w:sz="4" w:space="0"/>
              <w:right w:val="nil"/>
            </w:tcBorders>
            <w:noWrap w:val="0"/>
            <w:vAlign w:val="center"/>
          </w:tcPr>
          <w:p w14:paraId="303B2297">
            <w:pPr>
              <w:spacing w:line="280" w:lineRule="exact"/>
              <w:jc w:val="center"/>
              <w:rPr>
                <w:bCs/>
                <w:color w:val="auto"/>
                <w:szCs w:val="24"/>
                <w:highlight w:val="none"/>
              </w:rPr>
            </w:pPr>
            <w:r>
              <w:rPr>
                <w:bCs/>
                <w:color w:val="auto"/>
                <w:kern w:val="0"/>
                <w:sz w:val="18"/>
                <w:szCs w:val="18"/>
                <w:highlight w:val="none"/>
              </w:rPr>
              <w:t>—</w:t>
            </w:r>
          </w:p>
        </w:tc>
      </w:tr>
      <w:tr w14:paraId="6E7E48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34876947">
            <w:pPr>
              <w:widowControl/>
              <w:spacing w:line="280" w:lineRule="exact"/>
              <w:rPr>
                <w:bCs/>
                <w:color w:val="auto"/>
                <w:kern w:val="0"/>
                <w:sz w:val="18"/>
                <w:szCs w:val="18"/>
                <w:highlight w:val="none"/>
              </w:rPr>
            </w:pPr>
            <w:r>
              <w:rPr>
                <w:bCs/>
                <w:color w:val="auto"/>
                <w:kern w:val="0"/>
                <w:sz w:val="18"/>
                <w:szCs w:val="18"/>
                <w:highlight w:val="none"/>
              </w:rPr>
              <w:t>认定登记的技术合同项数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3366F15B">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3BA9E185">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QJ80_1</w:t>
            </w:r>
          </w:p>
        </w:tc>
        <w:tc>
          <w:tcPr>
            <w:tcW w:w="1050" w:type="dxa"/>
            <w:tcBorders>
              <w:top w:val="single" w:color="auto" w:sz="4" w:space="0"/>
              <w:left w:val="single" w:color="auto" w:sz="4" w:space="0"/>
              <w:bottom w:val="single" w:color="auto" w:sz="4" w:space="0"/>
              <w:right w:val="nil"/>
            </w:tcBorders>
            <w:noWrap w:val="0"/>
            <w:vAlign w:val="center"/>
          </w:tcPr>
          <w:p w14:paraId="10003EC3">
            <w:pPr>
              <w:spacing w:line="280" w:lineRule="exact"/>
              <w:ind w:left="-1" w:leftChars="-50" w:right="-105" w:rightChars="-50" w:hanging="104" w:hangingChars="58"/>
              <w:jc w:val="center"/>
              <w:rPr>
                <w:bCs/>
                <w:color w:val="auto"/>
                <w:kern w:val="0"/>
                <w:sz w:val="18"/>
                <w:szCs w:val="18"/>
                <w:highlight w:val="none"/>
              </w:rPr>
            </w:pPr>
          </w:p>
        </w:tc>
      </w:tr>
      <w:tr w14:paraId="6A7831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07C3BDCA">
            <w:pPr>
              <w:widowControl/>
              <w:spacing w:line="280" w:lineRule="exact"/>
              <w:ind w:firstLine="360" w:firstLineChars="200"/>
              <w:rPr>
                <w:bCs/>
                <w:color w:val="auto"/>
                <w:kern w:val="0"/>
                <w:sz w:val="18"/>
                <w:szCs w:val="18"/>
                <w:highlight w:val="none"/>
              </w:rPr>
            </w:pPr>
            <w:r>
              <w:rPr>
                <w:bCs/>
                <w:color w:val="auto"/>
                <w:kern w:val="0"/>
                <w:sz w:val="18"/>
                <w:szCs w:val="18"/>
                <w:highlight w:val="none"/>
              </w:rPr>
              <w:t>其中：从境外引进技术合同数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338CBA1E">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64CDF3FE">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QJ80_2</w:t>
            </w:r>
          </w:p>
        </w:tc>
        <w:tc>
          <w:tcPr>
            <w:tcW w:w="1050" w:type="dxa"/>
            <w:tcBorders>
              <w:top w:val="single" w:color="auto" w:sz="4" w:space="0"/>
              <w:left w:val="single" w:color="auto" w:sz="4" w:space="0"/>
              <w:bottom w:val="single" w:color="auto" w:sz="4" w:space="0"/>
              <w:right w:val="nil"/>
            </w:tcBorders>
            <w:noWrap w:val="0"/>
            <w:vAlign w:val="center"/>
          </w:tcPr>
          <w:p w14:paraId="5DA61909">
            <w:pPr>
              <w:spacing w:line="280" w:lineRule="exact"/>
              <w:ind w:left="-1" w:leftChars="-50" w:right="-105" w:rightChars="-50" w:hanging="104" w:hangingChars="58"/>
              <w:jc w:val="center"/>
              <w:rPr>
                <w:bCs/>
                <w:color w:val="auto"/>
                <w:kern w:val="0"/>
                <w:sz w:val="18"/>
                <w:szCs w:val="18"/>
                <w:highlight w:val="none"/>
              </w:rPr>
            </w:pPr>
          </w:p>
        </w:tc>
      </w:tr>
      <w:tr w14:paraId="4861F6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37089DDD">
            <w:pPr>
              <w:widowControl/>
              <w:spacing w:line="280" w:lineRule="exact"/>
              <w:ind w:firstLine="360" w:firstLineChars="200"/>
              <w:rPr>
                <w:bCs/>
                <w:color w:val="auto"/>
                <w:kern w:val="0"/>
                <w:sz w:val="18"/>
                <w:szCs w:val="18"/>
                <w:highlight w:val="none"/>
              </w:rPr>
            </w:pPr>
            <w:r>
              <w:rPr>
                <w:bCs/>
                <w:color w:val="auto"/>
                <w:kern w:val="0"/>
                <w:sz w:val="18"/>
                <w:szCs w:val="18"/>
                <w:highlight w:val="none"/>
              </w:rPr>
              <w:t>其中：向境外输出技术合同数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F8277FD">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项</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13FCBA56">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QJ80_3</w:t>
            </w:r>
          </w:p>
        </w:tc>
        <w:tc>
          <w:tcPr>
            <w:tcW w:w="1050" w:type="dxa"/>
            <w:tcBorders>
              <w:top w:val="single" w:color="auto" w:sz="4" w:space="0"/>
              <w:left w:val="single" w:color="auto" w:sz="4" w:space="0"/>
              <w:bottom w:val="single" w:color="auto" w:sz="4" w:space="0"/>
              <w:right w:val="nil"/>
            </w:tcBorders>
            <w:noWrap w:val="0"/>
            <w:vAlign w:val="center"/>
          </w:tcPr>
          <w:p w14:paraId="6077E80E">
            <w:pPr>
              <w:spacing w:line="280" w:lineRule="exact"/>
              <w:ind w:left="-1" w:leftChars="-50" w:right="-105" w:rightChars="-50" w:hanging="104" w:hangingChars="58"/>
              <w:jc w:val="center"/>
              <w:rPr>
                <w:bCs/>
                <w:color w:val="auto"/>
                <w:kern w:val="0"/>
                <w:sz w:val="18"/>
                <w:szCs w:val="18"/>
                <w:highlight w:val="none"/>
              </w:rPr>
            </w:pPr>
          </w:p>
        </w:tc>
      </w:tr>
      <w:tr w14:paraId="4B3BC2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2" w:space="0"/>
              <w:right w:val="single" w:color="auto" w:sz="4" w:space="0"/>
            </w:tcBorders>
            <w:noWrap w:val="0"/>
            <w:vAlign w:val="center"/>
          </w:tcPr>
          <w:p w14:paraId="548D3FF7">
            <w:pPr>
              <w:widowControl/>
              <w:spacing w:line="280" w:lineRule="exact"/>
              <w:rPr>
                <w:bCs/>
                <w:color w:val="auto"/>
                <w:kern w:val="0"/>
                <w:sz w:val="18"/>
                <w:szCs w:val="18"/>
                <w:highlight w:val="none"/>
              </w:rPr>
            </w:pPr>
            <w:r>
              <w:rPr>
                <w:bCs/>
                <w:color w:val="auto"/>
                <w:kern w:val="0"/>
                <w:sz w:val="18"/>
                <w:szCs w:val="18"/>
                <w:highlight w:val="none"/>
              </w:rPr>
              <w:t>认定登记的技术合同成交金额</w:t>
            </w:r>
          </w:p>
        </w:tc>
        <w:tc>
          <w:tcPr>
            <w:tcW w:w="996" w:type="dxa"/>
            <w:tcBorders>
              <w:top w:val="single" w:color="auto" w:sz="4" w:space="0"/>
              <w:left w:val="single" w:color="auto" w:sz="4" w:space="0"/>
              <w:bottom w:val="single" w:color="auto" w:sz="2" w:space="0"/>
              <w:right w:val="single" w:color="auto" w:sz="4" w:space="0"/>
            </w:tcBorders>
            <w:noWrap w:val="0"/>
            <w:vAlign w:val="center"/>
          </w:tcPr>
          <w:p w14:paraId="6BE22EB9">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千元</w:t>
            </w:r>
          </w:p>
        </w:tc>
        <w:tc>
          <w:tcPr>
            <w:tcW w:w="995" w:type="dxa"/>
            <w:tcBorders>
              <w:top w:val="single" w:color="auto" w:sz="4" w:space="0"/>
              <w:left w:val="single" w:color="auto" w:sz="4" w:space="0"/>
              <w:bottom w:val="single" w:color="auto" w:sz="2" w:space="0"/>
              <w:right w:val="single" w:color="auto" w:sz="4" w:space="0"/>
            </w:tcBorders>
            <w:noWrap w:val="0"/>
            <w:vAlign w:val="center"/>
          </w:tcPr>
          <w:p w14:paraId="4D4188F4">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QJ80</w:t>
            </w:r>
          </w:p>
        </w:tc>
        <w:tc>
          <w:tcPr>
            <w:tcW w:w="1050" w:type="dxa"/>
            <w:tcBorders>
              <w:top w:val="single" w:color="auto" w:sz="4" w:space="0"/>
              <w:left w:val="single" w:color="auto" w:sz="4" w:space="0"/>
              <w:bottom w:val="single" w:color="auto" w:sz="2" w:space="0"/>
              <w:right w:val="nil"/>
            </w:tcBorders>
            <w:noWrap w:val="0"/>
            <w:vAlign w:val="center"/>
          </w:tcPr>
          <w:p w14:paraId="6115B781">
            <w:pPr>
              <w:spacing w:line="280" w:lineRule="exact"/>
              <w:ind w:left="-1" w:leftChars="-50" w:right="-105" w:rightChars="-50" w:hanging="104" w:hangingChars="58"/>
              <w:jc w:val="center"/>
              <w:rPr>
                <w:bCs/>
                <w:color w:val="auto"/>
                <w:kern w:val="0"/>
                <w:sz w:val="18"/>
                <w:szCs w:val="18"/>
                <w:highlight w:val="none"/>
              </w:rPr>
            </w:pPr>
          </w:p>
        </w:tc>
      </w:tr>
      <w:tr w14:paraId="65B733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2" w:space="0"/>
              <w:right w:val="single" w:color="auto" w:sz="4" w:space="0"/>
            </w:tcBorders>
            <w:noWrap w:val="0"/>
            <w:vAlign w:val="center"/>
          </w:tcPr>
          <w:p w14:paraId="5D187E60">
            <w:pPr>
              <w:widowControl/>
              <w:spacing w:line="280" w:lineRule="exact"/>
              <w:ind w:firstLine="360" w:firstLineChars="200"/>
              <w:rPr>
                <w:bCs/>
                <w:color w:val="auto"/>
                <w:kern w:val="0"/>
                <w:sz w:val="18"/>
                <w:szCs w:val="18"/>
                <w:highlight w:val="none"/>
              </w:rPr>
            </w:pPr>
            <w:r>
              <w:rPr>
                <w:bCs/>
                <w:color w:val="auto"/>
                <w:kern w:val="0"/>
                <w:sz w:val="18"/>
                <w:szCs w:val="18"/>
                <w:highlight w:val="none"/>
              </w:rPr>
              <w:t>其中：从境外引进技术合同成交金额</w:t>
            </w:r>
          </w:p>
        </w:tc>
        <w:tc>
          <w:tcPr>
            <w:tcW w:w="996" w:type="dxa"/>
            <w:tcBorders>
              <w:top w:val="single" w:color="auto" w:sz="4" w:space="0"/>
              <w:left w:val="single" w:color="auto" w:sz="4" w:space="0"/>
              <w:bottom w:val="single" w:color="auto" w:sz="2" w:space="0"/>
              <w:right w:val="single" w:color="auto" w:sz="4" w:space="0"/>
            </w:tcBorders>
            <w:noWrap w:val="0"/>
            <w:vAlign w:val="center"/>
          </w:tcPr>
          <w:p w14:paraId="3162CD5C">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千元</w:t>
            </w:r>
          </w:p>
        </w:tc>
        <w:tc>
          <w:tcPr>
            <w:tcW w:w="995" w:type="dxa"/>
            <w:tcBorders>
              <w:top w:val="single" w:color="auto" w:sz="4" w:space="0"/>
              <w:left w:val="single" w:color="auto" w:sz="4" w:space="0"/>
              <w:bottom w:val="single" w:color="auto" w:sz="2" w:space="0"/>
              <w:right w:val="single" w:color="auto" w:sz="4" w:space="0"/>
            </w:tcBorders>
            <w:noWrap w:val="0"/>
            <w:vAlign w:val="center"/>
          </w:tcPr>
          <w:p w14:paraId="2FC0D8F7">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QJ80_4</w:t>
            </w:r>
          </w:p>
        </w:tc>
        <w:tc>
          <w:tcPr>
            <w:tcW w:w="1050" w:type="dxa"/>
            <w:tcBorders>
              <w:top w:val="single" w:color="auto" w:sz="4" w:space="0"/>
              <w:left w:val="single" w:color="auto" w:sz="4" w:space="0"/>
              <w:bottom w:val="single" w:color="auto" w:sz="2" w:space="0"/>
              <w:right w:val="nil"/>
            </w:tcBorders>
            <w:noWrap w:val="0"/>
            <w:vAlign w:val="center"/>
          </w:tcPr>
          <w:p w14:paraId="70380D56">
            <w:pPr>
              <w:spacing w:line="280" w:lineRule="exact"/>
              <w:ind w:left="-1" w:leftChars="-50" w:right="-105" w:rightChars="-50" w:hanging="104" w:hangingChars="58"/>
              <w:jc w:val="center"/>
              <w:rPr>
                <w:bCs/>
                <w:color w:val="auto"/>
                <w:kern w:val="0"/>
                <w:sz w:val="18"/>
                <w:szCs w:val="18"/>
                <w:highlight w:val="none"/>
              </w:rPr>
            </w:pPr>
          </w:p>
        </w:tc>
      </w:tr>
      <w:tr w14:paraId="3EFDC4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2" w:space="0"/>
              <w:right w:val="single" w:color="auto" w:sz="4" w:space="0"/>
            </w:tcBorders>
            <w:noWrap w:val="0"/>
            <w:vAlign w:val="center"/>
          </w:tcPr>
          <w:p w14:paraId="2F32FB4E">
            <w:pPr>
              <w:widowControl/>
              <w:spacing w:line="280" w:lineRule="exact"/>
              <w:ind w:firstLine="360" w:firstLineChars="200"/>
              <w:rPr>
                <w:bCs/>
                <w:color w:val="auto"/>
                <w:kern w:val="0"/>
                <w:sz w:val="18"/>
                <w:szCs w:val="18"/>
                <w:highlight w:val="none"/>
              </w:rPr>
            </w:pPr>
            <w:r>
              <w:rPr>
                <w:bCs/>
                <w:color w:val="auto"/>
                <w:kern w:val="0"/>
                <w:sz w:val="18"/>
                <w:szCs w:val="18"/>
                <w:highlight w:val="none"/>
              </w:rPr>
              <w:t>其中：向境外输出技术合同成交金额</w:t>
            </w:r>
          </w:p>
        </w:tc>
        <w:tc>
          <w:tcPr>
            <w:tcW w:w="996" w:type="dxa"/>
            <w:tcBorders>
              <w:top w:val="single" w:color="auto" w:sz="4" w:space="0"/>
              <w:left w:val="single" w:color="auto" w:sz="4" w:space="0"/>
              <w:bottom w:val="single" w:color="auto" w:sz="2" w:space="0"/>
              <w:right w:val="single" w:color="auto" w:sz="4" w:space="0"/>
            </w:tcBorders>
            <w:noWrap w:val="0"/>
            <w:vAlign w:val="center"/>
          </w:tcPr>
          <w:p w14:paraId="7703EF34">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千元</w:t>
            </w:r>
          </w:p>
        </w:tc>
        <w:tc>
          <w:tcPr>
            <w:tcW w:w="995" w:type="dxa"/>
            <w:tcBorders>
              <w:top w:val="single" w:color="auto" w:sz="4" w:space="0"/>
              <w:left w:val="single" w:color="auto" w:sz="4" w:space="0"/>
              <w:bottom w:val="single" w:color="auto" w:sz="2" w:space="0"/>
              <w:right w:val="single" w:color="auto" w:sz="4" w:space="0"/>
            </w:tcBorders>
            <w:noWrap w:val="0"/>
            <w:vAlign w:val="center"/>
          </w:tcPr>
          <w:p w14:paraId="3EBB7C28">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QJ80_5</w:t>
            </w:r>
          </w:p>
        </w:tc>
        <w:tc>
          <w:tcPr>
            <w:tcW w:w="1050" w:type="dxa"/>
            <w:tcBorders>
              <w:top w:val="single" w:color="auto" w:sz="4" w:space="0"/>
              <w:left w:val="single" w:color="auto" w:sz="4" w:space="0"/>
              <w:bottom w:val="single" w:color="auto" w:sz="2" w:space="0"/>
              <w:right w:val="nil"/>
            </w:tcBorders>
            <w:noWrap w:val="0"/>
            <w:vAlign w:val="center"/>
          </w:tcPr>
          <w:p w14:paraId="37618772">
            <w:pPr>
              <w:spacing w:line="280" w:lineRule="exact"/>
              <w:ind w:left="-1" w:leftChars="-50" w:right="-105" w:rightChars="-50" w:hanging="104" w:hangingChars="58"/>
              <w:jc w:val="center"/>
              <w:rPr>
                <w:bCs/>
                <w:color w:val="auto"/>
                <w:kern w:val="0"/>
                <w:sz w:val="18"/>
                <w:szCs w:val="18"/>
                <w:highlight w:val="none"/>
              </w:rPr>
            </w:pPr>
          </w:p>
        </w:tc>
      </w:tr>
      <w:tr w14:paraId="04C2B8B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2" w:space="0"/>
              <w:bottom w:val="single" w:color="auto" w:sz="4" w:space="0"/>
              <w:right w:val="single" w:color="auto" w:sz="4" w:space="0"/>
            </w:tcBorders>
            <w:noWrap w:val="0"/>
            <w:vAlign w:val="center"/>
          </w:tcPr>
          <w:p w14:paraId="5805323A">
            <w:pPr>
              <w:widowControl/>
              <w:spacing w:line="280" w:lineRule="exact"/>
              <w:rPr>
                <w:b/>
                <w:color w:val="auto"/>
                <w:kern w:val="0"/>
                <w:sz w:val="18"/>
                <w:szCs w:val="18"/>
                <w:highlight w:val="none"/>
              </w:rPr>
            </w:pPr>
            <w:r>
              <w:rPr>
                <w:b/>
                <w:color w:val="auto"/>
                <w:kern w:val="0"/>
                <w:sz w:val="18"/>
                <w:szCs w:val="18"/>
                <w:highlight w:val="none"/>
              </w:rPr>
              <w:t>八、其他相关情况</w:t>
            </w:r>
          </w:p>
        </w:tc>
        <w:tc>
          <w:tcPr>
            <w:tcW w:w="996" w:type="dxa"/>
            <w:tcBorders>
              <w:top w:val="single" w:color="auto" w:sz="2" w:space="0"/>
              <w:left w:val="single" w:color="auto" w:sz="4" w:space="0"/>
              <w:bottom w:val="single" w:color="auto" w:sz="4" w:space="0"/>
              <w:right w:val="single" w:color="auto" w:sz="4" w:space="0"/>
            </w:tcBorders>
            <w:noWrap w:val="0"/>
            <w:vAlign w:val="center"/>
          </w:tcPr>
          <w:p w14:paraId="5DF84027">
            <w:pPr>
              <w:spacing w:line="280" w:lineRule="exact"/>
              <w:jc w:val="center"/>
              <w:rPr>
                <w:bCs/>
                <w:color w:val="auto"/>
                <w:sz w:val="18"/>
                <w:szCs w:val="18"/>
                <w:highlight w:val="none"/>
              </w:rPr>
            </w:pPr>
            <w:r>
              <w:rPr>
                <w:bCs/>
                <w:color w:val="auto"/>
                <w:kern w:val="0"/>
                <w:sz w:val="18"/>
                <w:szCs w:val="18"/>
                <w:highlight w:val="none"/>
              </w:rPr>
              <w:t>—</w:t>
            </w:r>
          </w:p>
        </w:tc>
        <w:tc>
          <w:tcPr>
            <w:tcW w:w="995" w:type="dxa"/>
            <w:tcBorders>
              <w:top w:val="single" w:color="auto" w:sz="2" w:space="0"/>
              <w:left w:val="single" w:color="auto" w:sz="4" w:space="0"/>
              <w:bottom w:val="single" w:color="auto" w:sz="4" w:space="0"/>
              <w:right w:val="single" w:color="auto" w:sz="4" w:space="0"/>
            </w:tcBorders>
            <w:noWrap w:val="0"/>
            <w:vAlign w:val="center"/>
          </w:tcPr>
          <w:p w14:paraId="76177C4E">
            <w:pPr>
              <w:spacing w:line="280" w:lineRule="exact"/>
              <w:jc w:val="center"/>
              <w:rPr>
                <w:bCs/>
                <w:color w:val="auto"/>
                <w:sz w:val="18"/>
                <w:szCs w:val="18"/>
                <w:highlight w:val="none"/>
              </w:rPr>
            </w:pPr>
            <w:r>
              <w:rPr>
                <w:bCs/>
                <w:color w:val="auto"/>
                <w:kern w:val="0"/>
                <w:sz w:val="18"/>
                <w:szCs w:val="18"/>
                <w:highlight w:val="none"/>
              </w:rPr>
              <w:t>—</w:t>
            </w:r>
          </w:p>
        </w:tc>
        <w:tc>
          <w:tcPr>
            <w:tcW w:w="1050" w:type="dxa"/>
            <w:tcBorders>
              <w:top w:val="single" w:color="auto" w:sz="2" w:space="0"/>
              <w:left w:val="single" w:color="auto" w:sz="4" w:space="0"/>
              <w:bottom w:val="single" w:color="auto" w:sz="4" w:space="0"/>
              <w:right w:val="nil"/>
            </w:tcBorders>
            <w:noWrap w:val="0"/>
            <w:vAlign w:val="center"/>
          </w:tcPr>
          <w:p w14:paraId="2B455359">
            <w:pPr>
              <w:spacing w:line="280" w:lineRule="exact"/>
              <w:jc w:val="center"/>
              <w:rPr>
                <w:bCs/>
                <w:color w:val="auto"/>
                <w:sz w:val="18"/>
                <w:szCs w:val="18"/>
                <w:highlight w:val="none"/>
              </w:rPr>
            </w:pPr>
            <w:r>
              <w:rPr>
                <w:bCs/>
                <w:color w:val="auto"/>
                <w:kern w:val="0"/>
                <w:sz w:val="18"/>
                <w:szCs w:val="18"/>
                <w:highlight w:val="none"/>
              </w:rPr>
              <w:t>—</w:t>
            </w:r>
          </w:p>
        </w:tc>
      </w:tr>
      <w:tr w14:paraId="084F37D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6F9E393">
            <w:pPr>
              <w:widowControl/>
              <w:spacing w:line="280" w:lineRule="exact"/>
              <w:rPr>
                <w:b/>
                <w:bCs/>
                <w:color w:val="auto"/>
                <w:kern w:val="0"/>
                <w:sz w:val="18"/>
                <w:szCs w:val="18"/>
                <w:highlight w:val="none"/>
              </w:rPr>
            </w:pPr>
            <w:r>
              <w:rPr>
                <w:b/>
                <w:bCs/>
                <w:color w:val="auto"/>
                <w:kern w:val="0"/>
                <w:sz w:val="18"/>
                <w:szCs w:val="18"/>
                <w:highlight w:val="none"/>
              </w:rPr>
              <w:t>（一）技术改造和技术获取情况</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0D9DE30E">
            <w:pPr>
              <w:spacing w:line="280" w:lineRule="exact"/>
              <w:jc w:val="center"/>
              <w:rPr>
                <w:bCs/>
                <w:color w:val="auto"/>
                <w:szCs w:val="24"/>
                <w:highlight w:val="none"/>
              </w:rPr>
            </w:pPr>
            <w:r>
              <w:rPr>
                <w:bCs/>
                <w:color w:val="auto"/>
                <w:kern w:val="0"/>
                <w:sz w:val="18"/>
                <w:szCs w:val="18"/>
                <w:highlight w:val="none"/>
              </w:rPr>
              <w:t>—</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2C66865F">
            <w:pPr>
              <w:spacing w:line="280" w:lineRule="exact"/>
              <w:jc w:val="center"/>
              <w:rPr>
                <w:bCs/>
                <w:color w:val="auto"/>
                <w:szCs w:val="24"/>
                <w:highlight w:val="none"/>
              </w:rPr>
            </w:pPr>
            <w:r>
              <w:rPr>
                <w:bCs/>
                <w:color w:val="auto"/>
                <w:kern w:val="0"/>
                <w:sz w:val="18"/>
                <w:szCs w:val="18"/>
                <w:highlight w:val="none"/>
              </w:rPr>
              <w:t>—</w:t>
            </w:r>
          </w:p>
        </w:tc>
        <w:tc>
          <w:tcPr>
            <w:tcW w:w="1050" w:type="dxa"/>
            <w:tcBorders>
              <w:top w:val="single" w:color="auto" w:sz="4" w:space="0"/>
              <w:left w:val="single" w:color="auto" w:sz="4" w:space="0"/>
              <w:bottom w:val="single" w:color="auto" w:sz="4" w:space="0"/>
              <w:right w:val="nil"/>
            </w:tcBorders>
            <w:noWrap w:val="0"/>
            <w:vAlign w:val="center"/>
          </w:tcPr>
          <w:p w14:paraId="12171B0C">
            <w:pPr>
              <w:spacing w:line="280" w:lineRule="exact"/>
              <w:jc w:val="center"/>
              <w:rPr>
                <w:bCs/>
                <w:color w:val="auto"/>
                <w:szCs w:val="24"/>
                <w:highlight w:val="none"/>
              </w:rPr>
            </w:pPr>
            <w:r>
              <w:rPr>
                <w:bCs/>
                <w:color w:val="auto"/>
                <w:kern w:val="0"/>
                <w:sz w:val="18"/>
                <w:szCs w:val="18"/>
                <w:highlight w:val="none"/>
              </w:rPr>
              <w:t>—</w:t>
            </w:r>
          </w:p>
        </w:tc>
      </w:tr>
      <w:tr w14:paraId="0EE1AC5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6008ACA2">
            <w:pPr>
              <w:widowControl/>
              <w:spacing w:line="280" w:lineRule="exact"/>
              <w:rPr>
                <w:bCs/>
                <w:color w:val="auto"/>
                <w:kern w:val="0"/>
                <w:sz w:val="18"/>
                <w:szCs w:val="18"/>
                <w:highlight w:val="none"/>
              </w:rPr>
            </w:pPr>
            <w:r>
              <w:rPr>
                <w:bCs/>
                <w:color w:val="auto"/>
                <w:kern w:val="0"/>
                <w:sz w:val="18"/>
                <w:szCs w:val="18"/>
                <w:highlight w:val="none"/>
              </w:rPr>
              <w:t>技术改造经费支出</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70D00610">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千元</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4811F72B">
            <w:pPr>
              <w:spacing w:line="280" w:lineRule="exact"/>
              <w:ind w:left="-1" w:leftChars="-50" w:right="-105" w:rightChars="-50" w:hanging="104" w:hangingChars="58"/>
              <w:jc w:val="center"/>
              <w:rPr>
                <w:bCs/>
                <w:color w:val="auto"/>
                <w:szCs w:val="24"/>
                <w:highlight w:val="none"/>
              </w:rPr>
            </w:pPr>
            <w:r>
              <w:rPr>
                <w:bCs/>
                <w:color w:val="auto"/>
                <w:kern w:val="0"/>
                <w:sz w:val="18"/>
                <w:szCs w:val="18"/>
                <w:highlight w:val="none"/>
              </w:rPr>
              <w:t>QJ58</w:t>
            </w:r>
          </w:p>
        </w:tc>
        <w:tc>
          <w:tcPr>
            <w:tcW w:w="1050" w:type="dxa"/>
            <w:tcBorders>
              <w:top w:val="single" w:color="auto" w:sz="4" w:space="0"/>
              <w:left w:val="single" w:color="auto" w:sz="4" w:space="0"/>
              <w:bottom w:val="single" w:color="auto" w:sz="4" w:space="0"/>
              <w:right w:val="nil"/>
            </w:tcBorders>
            <w:noWrap w:val="0"/>
            <w:vAlign w:val="center"/>
          </w:tcPr>
          <w:p w14:paraId="328C54C3">
            <w:pPr>
              <w:spacing w:line="280" w:lineRule="exact"/>
              <w:ind w:left="-1" w:leftChars="-50" w:right="-105" w:rightChars="-50" w:hanging="104" w:hangingChars="58"/>
              <w:jc w:val="center"/>
              <w:rPr>
                <w:bCs/>
                <w:color w:val="auto"/>
                <w:kern w:val="0"/>
                <w:sz w:val="18"/>
                <w:szCs w:val="18"/>
                <w:highlight w:val="none"/>
              </w:rPr>
            </w:pPr>
          </w:p>
        </w:tc>
      </w:tr>
      <w:tr w14:paraId="01006B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78" w:hRule="atLeast"/>
          <w:jc w:val="center"/>
        </w:trPr>
        <w:tc>
          <w:tcPr>
            <w:tcW w:w="6332" w:type="dxa"/>
            <w:tcBorders>
              <w:top w:val="single" w:color="auto" w:sz="4" w:space="0"/>
              <w:bottom w:val="single" w:color="auto" w:sz="8" w:space="0"/>
              <w:right w:val="single" w:color="auto" w:sz="4" w:space="0"/>
            </w:tcBorders>
            <w:noWrap w:val="0"/>
            <w:vAlign w:val="center"/>
          </w:tcPr>
          <w:p w14:paraId="2F0C7AFD">
            <w:pPr>
              <w:widowControl/>
              <w:spacing w:line="280" w:lineRule="exact"/>
              <w:rPr>
                <w:bCs/>
                <w:color w:val="auto"/>
                <w:kern w:val="0"/>
                <w:sz w:val="18"/>
                <w:szCs w:val="18"/>
                <w:highlight w:val="none"/>
              </w:rPr>
            </w:pPr>
            <w:r>
              <w:rPr>
                <w:bCs/>
                <w:color w:val="auto"/>
                <w:kern w:val="0"/>
                <w:sz w:val="18"/>
                <w:szCs w:val="18"/>
                <w:highlight w:val="none"/>
              </w:rPr>
              <w:t>购买境内技术经费支出</w:t>
            </w:r>
          </w:p>
        </w:tc>
        <w:tc>
          <w:tcPr>
            <w:tcW w:w="996" w:type="dxa"/>
            <w:tcBorders>
              <w:top w:val="single" w:color="auto" w:sz="4" w:space="0"/>
              <w:left w:val="single" w:color="auto" w:sz="4" w:space="0"/>
              <w:bottom w:val="single" w:color="auto" w:sz="8" w:space="0"/>
              <w:right w:val="single" w:color="auto" w:sz="4" w:space="0"/>
            </w:tcBorders>
            <w:noWrap w:val="0"/>
            <w:vAlign w:val="center"/>
          </w:tcPr>
          <w:p w14:paraId="34854490">
            <w:pPr>
              <w:spacing w:line="280" w:lineRule="exact"/>
              <w:jc w:val="center"/>
              <w:rPr>
                <w:bCs/>
                <w:color w:val="auto"/>
                <w:kern w:val="0"/>
                <w:sz w:val="18"/>
                <w:szCs w:val="18"/>
                <w:highlight w:val="none"/>
              </w:rPr>
            </w:pPr>
            <w:r>
              <w:rPr>
                <w:bCs/>
                <w:color w:val="auto"/>
                <w:kern w:val="0"/>
                <w:sz w:val="18"/>
                <w:szCs w:val="18"/>
                <w:highlight w:val="none"/>
              </w:rPr>
              <w:t>千元</w:t>
            </w:r>
          </w:p>
        </w:tc>
        <w:tc>
          <w:tcPr>
            <w:tcW w:w="995" w:type="dxa"/>
            <w:tcBorders>
              <w:top w:val="single" w:color="auto" w:sz="4" w:space="0"/>
              <w:left w:val="single" w:color="auto" w:sz="4" w:space="0"/>
              <w:bottom w:val="single" w:color="auto" w:sz="8" w:space="0"/>
              <w:right w:val="single" w:color="auto" w:sz="4" w:space="0"/>
            </w:tcBorders>
            <w:noWrap w:val="0"/>
            <w:vAlign w:val="center"/>
          </w:tcPr>
          <w:p w14:paraId="34CF5DB6">
            <w:pPr>
              <w:spacing w:line="280" w:lineRule="exact"/>
              <w:jc w:val="center"/>
              <w:rPr>
                <w:bCs/>
                <w:color w:val="auto"/>
                <w:kern w:val="0"/>
                <w:sz w:val="18"/>
                <w:szCs w:val="18"/>
                <w:highlight w:val="none"/>
              </w:rPr>
            </w:pPr>
            <w:r>
              <w:rPr>
                <w:bCs/>
                <w:color w:val="auto"/>
                <w:kern w:val="0"/>
                <w:sz w:val="18"/>
                <w:szCs w:val="18"/>
                <w:highlight w:val="none"/>
              </w:rPr>
              <w:t>QJ62</w:t>
            </w:r>
          </w:p>
        </w:tc>
        <w:tc>
          <w:tcPr>
            <w:tcW w:w="1050" w:type="dxa"/>
            <w:tcBorders>
              <w:top w:val="single" w:color="auto" w:sz="4" w:space="0"/>
              <w:left w:val="single" w:color="auto" w:sz="4" w:space="0"/>
              <w:bottom w:val="single" w:color="auto" w:sz="8" w:space="0"/>
              <w:right w:val="nil"/>
            </w:tcBorders>
            <w:noWrap w:val="0"/>
            <w:vAlign w:val="center"/>
          </w:tcPr>
          <w:p w14:paraId="20282EED">
            <w:pPr>
              <w:spacing w:line="280" w:lineRule="exact"/>
              <w:jc w:val="center"/>
              <w:rPr>
                <w:bCs/>
                <w:color w:val="auto"/>
                <w:kern w:val="0"/>
                <w:sz w:val="18"/>
                <w:szCs w:val="18"/>
                <w:highlight w:val="none"/>
              </w:rPr>
            </w:pPr>
          </w:p>
        </w:tc>
      </w:tr>
    </w:tbl>
    <w:p w14:paraId="578FEA91">
      <w:pPr>
        <w:rPr>
          <w:rFonts w:hint="eastAsia" w:eastAsia="宋体"/>
          <w:color w:val="auto"/>
          <w:sz w:val="18"/>
          <w:szCs w:val="20"/>
          <w:highlight w:val="none"/>
          <w:lang w:eastAsia="zh-CN"/>
        </w:rPr>
      </w:pPr>
      <w:r>
        <w:rPr>
          <w:rFonts w:hint="eastAsia"/>
          <w:color w:val="auto"/>
          <w:sz w:val="18"/>
          <w:szCs w:val="20"/>
          <w:highlight w:val="none"/>
          <w:lang w:eastAsia="zh-CN"/>
        </w:rPr>
        <w:t>续表三：</w:t>
      </w:r>
    </w:p>
    <w:tbl>
      <w:tblPr>
        <w:tblStyle w:val="34"/>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332"/>
        <w:gridCol w:w="996"/>
        <w:gridCol w:w="995"/>
        <w:gridCol w:w="1050"/>
      </w:tblGrid>
      <w:tr w14:paraId="07F406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8" w:space="0"/>
              <w:bottom w:val="single" w:color="auto" w:sz="4" w:space="0"/>
              <w:right w:val="single" w:color="auto" w:sz="4" w:space="0"/>
            </w:tcBorders>
            <w:noWrap w:val="0"/>
            <w:vAlign w:val="center"/>
          </w:tcPr>
          <w:p w14:paraId="57E04CE6">
            <w:pPr>
              <w:widowControl/>
              <w:spacing w:line="280" w:lineRule="exact"/>
              <w:jc w:val="center"/>
              <w:rPr>
                <w:bCs/>
                <w:color w:val="auto"/>
                <w:kern w:val="2"/>
                <w:sz w:val="18"/>
                <w:szCs w:val="18"/>
                <w:highlight w:val="none"/>
                <w:lang w:val="en-US" w:eastAsia="zh-CN" w:bidi="ar-SA"/>
              </w:rPr>
            </w:pPr>
            <w:r>
              <w:rPr>
                <w:bCs/>
                <w:color w:val="auto"/>
                <w:sz w:val="18"/>
                <w:szCs w:val="18"/>
                <w:highlight w:val="none"/>
              </w:rPr>
              <w:t>指 标 名 称</w:t>
            </w:r>
          </w:p>
        </w:tc>
        <w:tc>
          <w:tcPr>
            <w:tcW w:w="996" w:type="dxa"/>
            <w:tcBorders>
              <w:top w:val="single" w:color="auto" w:sz="8" w:space="0"/>
              <w:left w:val="single" w:color="auto" w:sz="4" w:space="0"/>
              <w:bottom w:val="single" w:color="auto" w:sz="4" w:space="0"/>
              <w:right w:val="single" w:color="auto" w:sz="4" w:space="0"/>
            </w:tcBorders>
            <w:noWrap w:val="0"/>
            <w:vAlign w:val="center"/>
          </w:tcPr>
          <w:p w14:paraId="2781A424">
            <w:pPr>
              <w:spacing w:line="280" w:lineRule="exact"/>
              <w:ind w:left="0" w:leftChars="0" w:right="0" w:rightChars="0" w:firstLine="0" w:firstLineChars="0"/>
              <w:jc w:val="center"/>
              <w:rPr>
                <w:bCs/>
                <w:color w:val="auto"/>
                <w:kern w:val="2"/>
                <w:sz w:val="18"/>
                <w:szCs w:val="18"/>
                <w:highlight w:val="none"/>
                <w:lang w:val="en-US" w:eastAsia="zh-CN" w:bidi="ar-SA"/>
              </w:rPr>
            </w:pPr>
            <w:r>
              <w:rPr>
                <w:bCs/>
                <w:color w:val="auto"/>
                <w:sz w:val="18"/>
                <w:szCs w:val="18"/>
                <w:highlight w:val="none"/>
              </w:rPr>
              <w:t>计量单位</w:t>
            </w:r>
          </w:p>
        </w:tc>
        <w:tc>
          <w:tcPr>
            <w:tcW w:w="995" w:type="dxa"/>
            <w:tcBorders>
              <w:top w:val="single" w:color="auto" w:sz="8" w:space="0"/>
              <w:left w:val="single" w:color="auto" w:sz="4" w:space="0"/>
              <w:bottom w:val="single" w:color="auto" w:sz="4" w:space="0"/>
              <w:right w:val="single" w:color="auto" w:sz="4" w:space="0"/>
            </w:tcBorders>
            <w:noWrap w:val="0"/>
            <w:vAlign w:val="center"/>
          </w:tcPr>
          <w:p w14:paraId="1D39EC59">
            <w:pPr>
              <w:spacing w:line="280" w:lineRule="exact"/>
              <w:ind w:left="0" w:leftChars="0" w:right="0" w:rightChars="0" w:firstLine="0" w:firstLineChars="0"/>
              <w:jc w:val="center"/>
              <w:rPr>
                <w:bCs/>
                <w:color w:val="auto"/>
                <w:kern w:val="2"/>
                <w:sz w:val="21"/>
                <w:szCs w:val="24"/>
                <w:highlight w:val="none"/>
                <w:lang w:val="en-US" w:eastAsia="zh-CN" w:bidi="ar-SA"/>
              </w:rPr>
            </w:pPr>
            <w:r>
              <w:rPr>
                <w:bCs/>
                <w:color w:val="auto"/>
                <w:sz w:val="18"/>
                <w:szCs w:val="18"/>
                <w:highlight w:val="none"/>
              </w:rPr>
              <w:t>代码</w:t>
            </w:r>
          </w:p>
        </w:tc>
        <w:tc>
          <w:tcPr>
            <w:tcW w:w="1050" w:type="dxa"/>
            <w:tcBorders>
              <w:top w:val="single" w:color="auto" w:sz="8" w:space="0"/>
              <w:left w:val="single" w:color="auto" w:sz="4" w:space="0"/>
              <w:bottom w:val="single" w:color="auto" w:sz="4" w:space="0"/>
              <w:right w:val="nil"/>
            </w:tcBorders>
            <w:noWrap w:val="0"/>
            <w:vAlign w:val="center"/>
          </w:tcPr>
          <w:p w14:paraId="03B4BAFE">
            <w:pPr>
              <w:spacing w:line="280" w:lineRule="exact"/>
              <w:ind w:left="0" w:leftChars="0" w:right="0" w:rightChars="0" w:firstLine="0" w:firstLineChars="0"/>
              <w:jc w:val="center"/>
              <w:rPr>
                <w:bCs/>
                <w:color w:val="auto"/>
                <w:kern w:val="2"/>
                <w:sz w:val="18"/>
                <w:szCs w:val="18"/>
                <w:highlight w:val="none"/>
                <w:lang w:val="en-US" w:eastAsia="zh-CN" w:bidi="ar-SA"/>
              </w:rPr>
            </w:pPr>
            <w:r>
              <w:rPr>
                <w:bCs/>
                <w:color w:val="auto"/>
                <w:sz w:val="18"/>
                <w:szCs w:val="18"/>
                <w:highlight w:val="none"/>
              </w:rPr>
              <w:t>数量</w:t>
            </w:r>
          </w:p>
        </w:tc>
      </w:tr>
      <w:tr w14:paraId="185B91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15ED6B1C">
            <w:pPr>
              <w:widowControl/>
              <w:spacing w:line="280" w:lineRule="exact"/>
              <w:jc w:val="center"/>
              <w:rPr>
                <w:bCs/>
                <w:color w:val="auto"/>
                <w:kern w:val="0"/>
                <w:sz w:val="18"/>
                <w:szCs w:val="18"/>
                <w:highlight w:val="none"/>
                <w:lang w:val="en-US" w:eastAsia="zh-CN" w:bidi="ar-SA"/>
              </w:rPr>
            </w:pPr>
            <w:r>
              <w:rPr>
                <w:bCs/>
                <w:color w:val="auto"/>
                <w:kern w:val="0"/>
                <w:sz w:val="18"/>
                <w:szCs w:val="18"/>
                <w:highlight w:val="none"/>
              </w:rPr>
              <w:t>甲</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1236064">
            <w:pPr>
              <w:spacing w:line="280" w:lineRule="exact"/>
              <w:jc w:val="center"/>
              <w:rPr>
                <w:bCs/>
                <w:color w:val="auto"/>
                <w:kern w:val="0"/>
                <w:sz w:val="18"/>
                <w:szCs w:val="18"/>
                <w:highlight w:val="none"/>
                <w:lang w:val="en-US" w:eastAsia="zh-CN" w:bidi="ar-SA"/>
              </w:rPr>
            </w:pPr>
            <w:r>
              <w:rPr>
                <w:bCs/>
                <w:color w:val="auto"/>
                <w:kern w:val="0"/>
                <w:sz w:val="18"/>
                <w:szCs w:val="18"/>
                <w:highlight w:val="none"/>
              </w:rPr>
              <w:t>乙</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7D3F063C">
            <w:pPr>
              <w:spacing w:line="280" w:lineRule="exact"/>
              <w:jc w:val="center"/>
              <w:rPr>
                <w:bCs/>
                <w:color w:val="auto"/>
                <w:kern w:val="0"/>
                <w:sz w:val="18"/>
                <w:szCs w:val="18"/>
                <w:highlight w:val="none"/>
                <w:lang w:val="en-US" w:eastAsia="zh-CN" w:bidi="ar-SA"/>
              </w:rPr>
            </w:pPr>
            <w:r>
              <w:rPr>
                <w:bCs/>
                <w:color w:val="auto"/>
                <w:kern w:val="0"/>
                <w:sz w:val="18"/>
                <w:szCs w:val="18"/>
                <w:highlight w:val="none"/>
              </w:rPr>
              <w:t>丙</w:t>
            </w:r>
          </w:p>
        </w:tc>
        <w:tc>
          <w:tcPr>
            <w:tcW w:w="1050" w:type="dxa"/>
            <w:tcBorders>
              <w:top w:val="single" w:color="auto" w:sz="4" w:space="0"/>
              <w:left w:val="single" w:color="auto" w:sz="4" w:space="0"/>
              <w:bottom w:val="single" w:color="auto" w:sz="4" w:space="0"/>
              <w:right w:val="nil"/>
            </w:tcBorders>
            <w:noWrap w:val="0"/>
            <w:vAlign w:val="center"/>
          </w:tcPr>
          <w:p w14:paraId="194B1207">
            <w:pPr>
              <w:spacing w:line="280" w:lineRule="exact"/>
              <w:jc w:val="center"/>
              <w:rPr>
                <w:bCs/>
                <w:color w:val="auto"/>
                <w:kern w:val="0"/>
                <w:sz w:val="18"/>
                <w:szCs w:val="18"/>
                <w:highlight w:val="none"/>
                <w:lang w:val="en-US" w:eastAsia="zh-CN" w:bidi="ar-SA"/>
              </w:rPr>
            </w:pPr>
            <w:r>
              <w:rPr>
                <w:bCs/>
                <w:color w:val="auto"/>
                <w:kern w:val="0"/>
                <w:sz w:val="18"/>
                <w:szCs w:val="18"/>
                <w:highlight w:val="none"/>
              </w:rPr>
              <w:t>1</w:t>
            </w:r>
          </w:p>
        </w:tc>
      </w:tr>
      <w:tr w14:paraId="2F8986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39FB9135">
            <w:pPr>
              <w:widowControl/>
              <w:spacing w:line="280" w:lineRule="exact"/>
              <w:rPr>
                <w:bCs/>
                <w:color w:val="auto"/>
                <w:kern w:val="0"/>
                <w:sz w:val="18"/>
                <w:szCs w:val="18"/>
                <w:highlight w:val="none"/>
                <w:lang w:val="en-US" w:eastAsia="zh-CN" w:bidi="ar-SA"/>
              </w:rPr>
            </w:pPr>
            <w:r>
              <w:rPr>
                <w:bCs/>
                <w:color w:val="auto"/>
                <w:kern w:val="0"/>
                <w:sz w:val="18"/>
                <w:szCs w:val="18"/>
                <w:highlight w:val="none"/>
              </w:rPr>
              <w:t>引进境外技术经费支出</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27F05BD2">
            <w:pPr>
              <w:spacing w:line="280" w:lineRule="exact"/>
              <w:ind w:left="-1" w:leftChars="-50" w:right="-105" w:rightChars="-50" w:hanging="104" w:hangingChars="58"/>
              <w:jc w:val="center"/>
              <w:rPr>
                <w:bCs/>
                <w:color w:val="auto"/>
                <w:kern w:val="0"/>
                <w:sz w:val="18"/>
                <w:szCs w:val="18"/>
                <w:highlight w:val="none"/>
                <w:lang w:val="en-US" w:eastAsia="zh-CN" w:bidi="ar-SA"/>
              </w:rPr>
            </w:pPr>
            <w:r>
              <w:rPr>
                <w:bCs/>
                <w:color w:val="auto"/>
                <w:kern w:val="0"/>
                <w:sz w:val="18"/>
                <w:szCs w:val="18"/>
                <w:highlight w:val="none"/>
              </w:rPr>
              <w:t>千元</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A4A3D12">
            <w:pPr>
              <w:spacing w:line="280" w:lineRule="exact"/>
              <w:ind w:left="-1" w:leftChars="-50" w:right="-105" w:rightChars="-50" w:hanging="104" w:hangingChars="58"/>
              <w:jc w:val="center"/>
              <w:rPr>
                <w:bCs/>
                <w:color w:val="auto"/>
                <w:kern w:val="2"/>
                <w:sz w:val="21"/>
                <w:szCs w:val="24"/>
                <w:highlight w:val="none"/>
                <w:lang w:val="en-US" w:eastAsia="zh-CN" w:bidi="ar-SA"/>
              </w:rPr>
            </w:pPr>
            <w:r>
              <w:rPr>
                <w:bCs/>
                <w:color w:val="auto"/>
                <w:kern w:val="0"/>
                <w:sz w:val="18"/>
                <w:szCs w:val="18"/>
                <w:highlight w:val="none"/>
              </w:rPr>
              <w:t>QJ59</w:t>
            </w:r>
          </w:p>
        </w:tc>
        <w:tc>
          <w:tcPr>
            <w:tcW w:w="1050" w:type="dxa"/>
            <w:tcBorders>
              <w:top w:val="single" w:color="auto" w:sz="4" w:space="0"/>
              <w:left w:val="single" w:color="auto" w:sz="4" w:space="0"/>
              <w:bottom w:val="single" w:color="auto" w:sz="4" w:space="0"/>
              <w:right w:val="nil"/>
            </w:tcBorders>
            <w:noWrap w:val="0"/>
            <w:vAlign w:val="center"/>
          </w:tcPr>
          <w:p w14:paraId="5B9CF867">
            <w:pPr>
              <w:spacing w:line="280" w:lineRule="exact"/>
              <w:ind w:left="-1" w:leftChars="-50" w:right="-105" w:rightChars="-50" w:hanging="104" w:hangingChars="58"/>
              <w:jc w:val="center"/>
              <w:rPr>
                <w:bCs/>
                <w:color w:val="auto"/>
                <w:kern w:val="0"/>
                <w:sz w:val="18"/>
                <w:szCs w:val="18"/>
                <w:highlight w:val="none"/>
                <w:lang w:val="en-US" w:eastAsia="zh-CN" w:bidi="ar-SA"/>
              </w:rPr>
            </w:pPr>
          </w:p>
        </w:tc>
      </w:tr>
      <w:tr w14:paraId="4C2123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53DD0B75">
            <w:pPr>
              <w:widowControl/>
              <w:spacing w:line="280" w:lineRule="exact"/>
              <w:rPr>
                <w:bCs/>
                <w:color w:val="auto"/>
                <w:kern w:val="0"/>
                <w:sz w:val="18"/>
                <w:szCs w:val="18"/>
                <w:highlight w:val="none"/>
              </w:rPr>
            </w:pPr>
            <w:r>
              <w:rPr>
                <w:bCs/>
                <w:color w:val="auto"/>
                <w:kern w:val="0"/>
                <w:sz w:val="18"/>
                <w:szCs w:val="18"/>
                <w:highlight w:val="none"/>
              </w:rPr>
              <w:t>引进境外技术的消化吸收经费支出</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B704ED9">
            <w:pPr>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千元</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414DF5F4">
            <w:pPr>
              <w:spacing w:line="280" w:lineRule="exact"/>
              <w:ind w:left="-1" w:leftChars="-50" w:right="-105" w:rightChars="-50" w:hanging="104" w:hangingChars="58"/>
              <w:jc w:val="center"/>
              <w:rPr>
                <w:bCs/>
                <w:color w:val="auto"/>
                <w:szCs w:val="24"/>
                <w:highlight w:val="none"/>
              </w:rPr>
            </w:pPr>
            <w:r>
              <w:rPr>
                <w:bCs/>
                <w:color w:val="auto"/>
                <w:kern w:val="0"/>
                <w:sz w:val="18"/>
                <w:szCs w:val="18"/>
                <w:highlight w:val="none"/>
              </w:rPr>
              <w:t>QJ61</w:t>
            </w:r>
          </w:p>
        </w:tc>
        <w:tc>
          <w:tcPr>
            <w:tcW w:w="1050" w:type="dxa"/>
            <w:tcBorders>
              <w:top w:val="single" w:color="auto" w:sz="4" w:space="0"/>
              <w:left w:val="single" w:color="auto" w:sz="4" w:space="0"/>
              <w:bottom w:val="single" w:color="auto" w:sz="4" w:space="0"/>
              <w:right w:val="nil"/>
            </w:tcBorders>
            <w:noWrap w:val="0"/>
            <w:vAlign w:val="center"/>
          </w:tcPr>
          <w:p w14:paraId="7DE82D24">
            <w:pPr>
              <w:spacing w:line="280" w:lineRule="exact"/>
              <w:ind w:left="-1" w:leftChars="-50" w:right="-105" w:rightChars="-50" w:hanging="104" w:hangingChars="58"/>
              <w:jc w:val="center"/>
              <w:rPr>
                <w:bCs/>
                <w:color w:val="auto"/>
                <w:kern w:val="0"/>
                <w:sz w:val="18"/>
                <w:szCs w:val="18"/>
                <w:highlight w:val="none"/>
              </w:rPr>
            </w:pPr>
          </w:p>
        </w:tc>
      </w:tr>
      <w:tr w14:paraId="7FB204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5967ABB9">
            <w:pPr>
              <w:widowControl/>
              <w:spacing w:line="280" w:lineRule="exact"/>
              <w:rPr>
                <w:b/>
                <w:bCs/>
                <w:color w:val="auto"/>
                <w:kern w:val="0"/>
                <w:sz w:val="18"/>
                <w:szCs w:val="18"/>
                <w:highlight w:val="none"/>
              </w:rPr>
            </w:pPr>
            <w:r>
              <w:rPr>
                <w:b/>
                <w:bCs/>
                <w:color w:val="auto"/>
                <w:kern w:val="0"/>
                <w:sz w:val="18"/>
                <w:szCs w:val="18"/>
                <w:highlight w:val="none"/>
              </w:rPr>
              <w:t>（二）企业在境外设立分支机构情况</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473B50D7">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5FD571B9">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w:t>
            </w:r>
          </w:p>
        </w:tc>
        <w:tc>
          <w:tcPr>
            <w:tcW w:w="1050" w:type="dxa"/>
            <w:tcBorders>
              <w:top w:val="single" w:color="auto" w:sz="4" w:space="0"/>
              <w:left w:val="single" w:color="auto" w:sz="4" w:space="0"/>
              <w:bottom w:val="single" w:color="auto" w:sz="4" w:space="0"/>
              <w:right w:val="nil"/>
            </w:tcBorders>
            <w:noWrap w:val="0"/>
            <w:vAlign w:val="center"/>
          </w:tcPr>
          <w:p w14:paraId="23A829D4">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w:t>
            </w:r>
          </w:p>
        </w:tc>
      </w:tr>
      <w:tr w14:paraId="32A992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6CD77B5">
            <w:pPr>
              <w:widowControl/>
              <w:spacing w:line="280" w:lineRule="exact"/>
              <w:rPr>
                <w:bCs/>
                <w:color w:val="auto"/>
                <w:kern w:val="0"/>
                <w:sz w:val="18"/>
                <w:szCs w:val="18"/>
                <w:highlight w:val="none"/>
              </w:rPr>
            </w:pPr>
            <w:r>
              <w:rPr>
                <w:bCs/>
                <w:color w:val="auto"/>
                <w:kern w:val="0"/>
                <w:sz w:val="18"/>
                <w:szCs w:val="18"/>
                <w:highlight w:val="none"/>
              </w:rPr>
              <w:t>期末境外营销服务机构数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5AEF11DB">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个</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6F6A28FF">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QJ99</w:t>
            </w:r>
          </w:p>
        </w:tc>
        <w:tc>
          <w:tcPr>
            <w:tcW w:w="1050" w:type="dxa"/>
            <w:tcBorders>
              <w:top w:val="single" w:color="auto" w:sz="4" w:space="0"/>
              <w:left w:val="single" w:color="auto" w:sz="4" w:space="0"/>
              <w:bottom w:val="single" w:color="auto" w:sz="4" w:space="0"/>
              <w:right w:val="nil"/>
            </w:tcBorders>
            <w:noWrap w:val="0"/>
            <w:vAlign w:val="center"/>
          </w:tcPr>
          <w:p w14:paraId="61B9CC0C">
            <w:pPr>
              <w:widowControl/>
              <w:spacing w:line="280" w:lineRule="exact"/>
              <w:ind w:left="-1" w:leftChars="-50" w:right="-105" w:rightChars="-50" w:hanging="104" w:hangingChars="58"/>
              <w:jc w:val="center"/>
              <w:rPr>
                <w:bCs/>
                <w:color w:val="auto"/>
                <w:kern w:val="0"/>
                <w:sz w:val="18"/>
                <w:szCs w:val="18"/>
                <w:highlight w:val="none"/>
              </w:rPr>
            </w:pPr>
          </w:p>
        </w:tc>
      </w:tr>
      <w:tr w14:paraId="33355BA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497D2DD9">
            <w:pPr>
              <w:widowControl/>
              <w:spacing w:line="280" w:lineRule="exact"/>
              <w:rPr>
                <w:bCs/>
                <w:color w:val="auto"/>
                <w:kern w:val="0"/>
                <w:sz w:val="18"/>
                <w:szCs w:val="18"/>
                <w:highlight w:val="none"/>
              </w:rPr>
            </w:pPr>
            <w:r>
              <w:rPr>
                <w:bCs/>
                <w:color w:val="auto"/>
                <w:kern w:val="0"/>
                <w:sz w:val="18"/>
                <w:szCs w:val="18"/>
                <w:highlight w:val="none"/>
              </w:rPr>
              <w:t>期末境外技术研发机构数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6461E6E1">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个</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05CC47C8">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QJ90</w:t>
            </w:r>
          </w:p>
        </w:tc>
        <w:tc>
          <w:tcPr>
            <w:tcW w:w="1050" w:type="dxa"/>
            <w:tcBorders>
              <w:top w:val="single" w:color="auto" w:sz="4" w:space="0"/>
              <w:left w:val="single" w:color="auto" w:sz="4" w:space="0"/>
              <w:bottom w:val="single" w:color="auto" w:sz="4" w:space="0"/>
              <w:right w:val="nil"/>
            </w:tcBorders>
            <w:noWrap w:val="0"/>
            <w:vAlign w:val="center"/>
          </w:tcPr>
          <w:p w14:paraId="2E5E0B01">
            <w:pPr>
              <w:widowControl/>
              <w:spacing w:line="280" w:lineRule="exact"/>
              <w:ind w:left="-1" w:leftChars="-50" w:right="-105" w:rightChars="-50" w:hanging="104" w:hangingChars="58"/>
              <w:jc w:val="center"/>
              <w:rPr>
                <w:bCs/>
                <w:color w:val="auto"/>
                <w:kern w:val="0"/>
                <w:sz w:val="18"/>
                <w:szCs w:val="18"/>
                <w:highlight w:val="none"/>
              </w:rPr>
            </w:pPr>
          </w:p>
        </w:tc>
      </w:tr>
      <w:tr w14:paraId="3AFB28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7604DC2F">
            <w:pPr>
              <w:widowControl/>
              <w:spacing w:line="280" w:lineRule="exact"/>
              <w:rPr>
                <w:bCs/>
                <w:color w:val="auto"/>
                <w:kern w:val="0"/>
                <w:sz w:val="18"/>
                <w:szCs w:val="18"/>
                <w:highlight w:val="none"/>
              </w:rPr>
            </w:pPr>
            <w:r>
              <w:rPr>
                <w:bCs/>
                <w:color w:val="auto"/>
                <w:kern w:val="0"/>
                <w:sz w:val="18"/>
                <w:szCs w:val="18"/>
                <w:highlight w:val="none"/>
              </w:rPr>
              <w:t>期末境外生产制造基地数</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6B609DE1">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个</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45F9A346">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QJ92</w:t>
            </w:r>
          </w:p>
        </w:tc>
        <w:tc>
          <w:tcPr>
            <w:tcW w:w="1050" w:type="dxa"/>
            <w:tcBorders>
              <w:top w:val="single" w:color="auto" w:sz="4" w:space="0"/>
              <w:left w:val="single" w:color="auto" w:sz="4" w:space="0"/>
              <w:bottom w:val="single" w:color="auto" w:sz="4" w:space="0"/>
              <w:right w:val="nil"/>
            </w:tcBorders>
            <w:noWrap w:val="0"/>
            <w:vAlign w:val="center"/>
          </w:tcPr>
          <w:p w14:paraId="2FAF2B16">
            <w:pPr>
              <w:widowControl/>
              <w:spacing w:line="280" w:lineRule="exact"/>
              <w:ind w:left="-1" w:leftChars="-50" w:right="-105" w:rightChars="-50" w:hanging="104" w:hangingChars="58"/>
              <w:jc w:val="center"/>
              <w:rPr>
                <w:bCs/>
                <w:color w:val="auto"/>
                <w:kern w:val="0"/>
                <w:sz w:val="18"/>
                <w:szCs w:val="18"/>
                <w:highlight w:val="none"/>
              </w:rPr>
            </w:pPr>
          </w:p>
        </w:tc>
      </w:tr>
      <w:tr w14:paraId="1CAA15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332" w:type="dxa"/>
            <w:tcBorders>
              <w:top w:val="single" w:color="auto" w:sz="4" w:space="0"/>
              <w:bottom w:val="single" w:color="auto" w:sz="4" w:space="0"/>
              <w:right w:val="single" w:color="auto" w:sz="4" w:space="0"/>
            </w:tcBorders>
            <w:noWrap w:val="0"/>
            <w:vAlign w:val="center"/>
          </w:tcPr>
          <w:p w14:paraId="4FD2CFD0">
            <w:pPr>
              <w:widowControl/>
              <w:spacing w:line="280" w:lineRule="exact"/>
              <w:rPr>
                <w:bCs/>
                <w:color w:val="auto"/>
                <w:kern w:val="0"/>
                <w:sz w:val="18"/>
                <w:szCs w:val="18"/>
                <w:highlight w:val="none"/>
              </w:rPr>
            </w:pPr>
            <w:r>
              <w:rPr>
                <w:bCs/>
                <w:color w:val="auto"/>
                <w:kern w:val="0"/>
                <w:sz w:val="18"/>
                <w:szCs w:val="18"/>
                <w:highlight w:val="none"/>
              </w:rPr>
              <w:t>企业当年在境外设立分支机构数量</w:t>
            </w:r>
          </w:p>
        </w:tc>
        <w:tc>
          <w:tcPr>
            <w:tcW w:w="996" w:type="dxa"/>
            <w:tcBorders>
              <w:top w:val="single" w:color="auto" w:sz="4" w:space="0"/>
              <w:left w:val="single" w:color="auto" w:sz="4" w:space="0"/>
              <w:bottom w:val="single" w:color="auto" w:sz="4" w:space="0"/>
              <w:right w:val="single" w:color="auto" w:sz="4" w:space="0"/>
            </w:tcBorders>
            <w:noWrap w:val="0"/>
            <w:vAlign w:val="center"/>
          </w:tcPr>
          <w:p w14:paraId="43282471">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个</w:t>
            </w:r>
          </w:p>
        </w:tc>
        <w:tc>
          <w:tcPr>
            <w:tcW w:w="995" w:type="dxa"/>
            <w:tcBorders>
              <w:top w:val="single" w:color="auto" w:sz="4" w:space="0"/>
              <w:left w:val="single" w:color="auto" w:sz="4" w:space="0"/>
              <w:bottom w:val="single" w:color="auto" w:sz="4" w:space="0"/>
              <w:right w:val="single" w:color="auto" w:sz="4" w:space="0"/>
            </w:tcBorders>
            <w:noWrap w:val="0"/>
            <w:vAlign w:val="center"/>
          </w:tcPr>
          <w:p w14:paraId="627EDD13">
            <w:pPr>
              <w:widowControl/>
              <w:spacing w:line="280" w:lineRule="exact"/>
              <w:ind w:left="-1" w:leftChars="-50" w:right="-105" w:rightChars="-50" w:hanging="104" w:hangingChars="58"/>
              <w:jc w:val="center"/>
              <w:rPr>
                <w:bCs/>
                <w:color w:val="auto"/>
                <w:kern w:val="0"/>
                <w:sz w:val="18"/>
                <w:szCs w:val="18"/>
                <w:highlight w:val="none"/>
              </w:rPr>
            </w:pPr>
            <w:r>
              <w:rPr>
                <w:bCs/>
                <w:color w:val="auto"/>
                <w:kern w:val="0"/>
                <w:sz w:val="18"/>
                <w:szCs w:val="18"/>
                <w:highlight w:val="none"/>
              </w:rPr>
              <w:t>QJ102</w:t>
            </w:r>
          </w:p>
        </w:tc>
        <w:tc>
          <w:tcPr>
            <w:tcW w:w="1050" w:type="dxa"/>
            <w:tcBorders>
              <w:top w:val="single" w:color="auto" w:sz="4" w:space="0"/>
              <w:left w:val="single" w:color="auto" w:sz="4" w:space="0"/>
              <w:bottom w:val="single" w:color="auto" w:sz="4" w:space="0"/>
              <w:right w:val="nil"/>
            </w:tcBorders>
            <w:noWrap w:val="0"/>
            <w:vAlign w:val="center"/>
          </w:tcPr>
          <w:p w14:paraId="155F4DB9">
            <w:pPr>
              <w:widowControl/>
              <w:spacing w:line="280" w:lineRule="exact"/>
              <w:ind w:left="-1" w:leftChars="-50" w:right="-105" w:rightChars="-50" w:hanging="104" w:hangingChars="58"/>
              <w:jc w:val="center"/>
              <w:rPr>
                <w:bCs/>
                <w:color w:val="auto"/>
                <w:kern w:val="0"/>
                <w:sz w:val="18"/>
                <w:szCs w:val="18"/>
                <w:highlight w:val="none"/>
              </w:rPr>
            </w:pPr>
          </w:p>
        </w:tc>
      </w:tr>
      <w:tr w14:paraId="50E1564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wAfter w:w="164" w:type="dxa"/>
          <w:cantSplit/>
          <w:trHeight w:val="397" w:hRule="atLeast"/>
          <w:jc w:val="center"/>
        </w:trPr>
        <w:tc>
          <w:tcPr>
            <w:tcW w:w="9373" w:type="dxa"/>
            <w:gridSpan w:val="4"/>
            <w:tcBorders>
              <w:top w:val="single" w:color="auto" w:sz="4" w:space="0"/>
              <w:bottom w:val="single" w:color="auto" w:sz="8" w:space="0"/>
              <w:right w:val="nil"/>
            </w:tcBorders>
            <w:noWrap w:val="0"/>
            <w:vAlign w:val="center"/>
          </w:tcPr>
          <w:p w14:paraId="2D119502">
            <w:pPr>
              <w:spacing w:line="280" w:lineRule="exact"/>
              <w:rPr>
                <w:bCs/>
                <w:color w:val="auto"/>
                <w:sz w:val="18"/>
                <w:szCs w:val="24"/>
                <w:highlight w:val="none"/>
              </w:rPr>
            </w:pPr>
            <w:r>
              <w:rPr>
                <w:rFonts w:hint="eastAsia"/>
                <w:bCs/>
                <w:color w:val="auto"/>
                <w:sz w:val="18"/>
                <w:szCs w:val="24"/>
                <w:highlight w:val="none"/>
              </w:rPr>
              <w:t>补充资料：以下项目可多选，选定某项请在其后方框内填写</w:t>
            </w:r>
            <w:r>
              <w:rPr>
                <w:bCs/>
                <w:color w:val="auto"/>
                <w:sz w:val="18"/>
                <w:szCs w:val="24"/>
                <w:highlight w:val="none"/>
              </w:rPr>
              <w:t>1</w:t>
            </w:r>
            <w:r>
              <w:rPr>
                <w:rFonts w:hint="eastAsia"/>
                <w:bCs/>
                <w:color w:val="auto"/>
                <w:sz w:val="18"/>
                <w:szCs w:val="24"/>
                <w:highlight w:val="none"/>
              </w:rPr>
              <w:t>，不选可不填。</w:t>
            </w:r>
          </w:p>
          <w:p w14:paraId="70939DB2">
            <w:pPr>
              <w:spacing w:line="280" w:lineRule="exact"/>
              <w:rPr>
                <w:rFonts w:ascii="宋体" w:hAnsi="宋体"/>
                <w:bCs/>
                <w:color w:val="auto"/>
                <w:sz w:val="18"/>
                <w:szCs w:val="24"/>
                <w:highlight w:val="none"/>
              </w:rPr>
            </w:pPr>
            <w:r>
              <w:rPr>
                <w:rFonts w:ascii="宋体" w:hAnsi="宋体"/>
                <w:bCs/>
                <w:color w:val="auto"/>
                <w:sz w:val="18"/>
                <w:szCs w:val="24"/>
                <w:highlight w:val="none"/>
              </w:rPr>
              <w:t>1.企业在海外设立的技术研发机构所在的国家（QI19）：①美国□，②欧盟□，③日本□，④其他：□</w:t>
            </w:r>
            <w:r>
              <w:rPr>
                <w:rFonts w:hint="eastAsia" w:ascii="宋体" w:hAnsi="宋体"/>
                <w:bCs/>
                <w:color w:val="auto"/>
                <w:sz w:val="18"/>
                <w:szCs w:val="24"/>
                <w:highlight w:val="none"/>
              </w:rPr>
              <w:t>。</w:t>
            </w:r>
          </w:p>
          <w:p w14:paraId="00FB04AD">
            <w:pPr>
              <w:spacing w:line="280" w:lineRule="exact"/>
              <w:rPr>
                <w:rFonts w:ascii="Times New Roman" w:hAnsi="Times New Roman"/>
                <w:bCs/>
                <w:color w:val="auto"/>
                <w:kern w:val="0"/>
                <w:sz w:val="18"/>
                <w:szCs w:val="18"/>
                <w:highlight w:val="none"/>
              </w:rPr>
            </w:pPr>
            <w:r>
              <w:rPr>
                <w:rFonts w:ascii="宋体" w:hAnsi="宋体"/>
                <w:bCs/>
                <w:color w:val="auto"/>
                <w:sz w:val="18"/>
                <w:szCs w:val="24"/>
                <w:highlight w:val="none"/>
              </w:rPr>
              <w:t>2.知识产权获取方式（QJ88</w:t>
            </w:r>
            <w:r>
              <w:rPr>
                <w:rFonts w:hint="eastAsia" w:ascii="宋体" w:hAnsi="宋体"/>
                <w:bCs/>
                <w:color w:val="auto"/>
                <w:sz w:val="18"/>
                <w:szCs w:val="24"/>
                <w:highlight w:val="none"/>
              </w:rPr>
              <w:t>）：①自主研发□，②受让□，③</w:t>
            </w:r>
            <w:r>
              <w:rPr>
                <w:rFonts w:ascii="宋体" w:hAnsi="宋体"/>
                <w:bCs/>
                <w:color w:val="auto"/>
                <w:sz w:val="18"/>
                <w:szCs w:val="24"/>
                <w:highlight w:val="none"/>
              </w:rPr>
              <w:t>受赠</w:t>
            </w:r>
            <w:r>
              <w:rPr>
                <w:rFonts w:hint="eastAsia" w:ascii="宋体" w:hAnsi="宋体"/>
                <w:bCs/>
                <w:color w:val="auto"/>
                <w:sz w:val="18"/>
                <w:szCs w:val="24"/>
                <w:highlight w:val="none"/>
              </w:rPr>
              <w:t>□，④并购□，⑤</w:t>
            </w:r>
            <w:r>
              <w:rPr>
                <w:rFonts w:ascii="宋体" w:hAnsi="宋体"/>
                <w:bCs/>
                <w:color w:val="auto"/>
                <w:sz w:val="18"/>
                <w:szCs w:val="24"/>
                <w:highlight w:val="none"/>
              </w:rPr>
              <w:t>5年以上独占许可</w:t>
            </w:r>
            <w:r>
              <w:rPr>
                <w:rFonts w:hint="eastAsia" w:ascii="宋体" w:hAnsi="宋体"/>
                <w:bCs/>
                <w:color w:val="auto"/>
                <w:sz w:val="18"/>
                <w:szCs w:val="24"/>
                <w:highlight w:val="none"/>
              </w:rPr>
              <w:t>□。</w:t>
            </w:r>
          </w:p>
        </w:tc>
      </w:tr>
    </w:tbl>
    <w:p w14:paraId="61660ECC">
      <w:pPr>
        <w:spacing w:line="280" w:lineRule="exact"/>
        <w:rPr>
          <w:rFonts w:ascii="Times New Roman" w:hAnsi="Times New Roman"/>
          <w:bCs/>
          <w:color w:val="auto"/>
          <w:sz w:val="18"/>
          <w:szCs w:val="24"/>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7453A8DE">
      <w:pPr>
        <w:spacing w:line="280" w:lineRule="exact"/>
        <w:rPr>
          <w:rFonts w:ascii="Times New Roman" w:hAnsi="Times New Roman"/>
          <w:bCs/>
          <w:color w:val="auto"/>
          <w:sz w:val="18"/>
          <w:szCs w:val="24"/>
          <w:highlight w:val="none"/>
        </w:rPr>
      </w:pPr>
    </w:p>
    <w:p w14:paraId="76D1B586">
      <w:pPr>
        <w:spacing w:line="360" w:lineRule="exact"/>
        <w:rPr>
          <w:rFonts w:cs="Calibri"/>
          <w:bCs/>
          <w:color w:val="auto"/>
          <w:kern w:val="0"/>
          <w:sz w:val="18"/>
          <w:szCs w:val="18"/>
          <w:highlight w:val="none"/>
        </w:rPr>
      </w:pPr>
      <w:r>
        <w:rPr>
          <w:rFonts w:ascii="Times New Roman" w:hAnsi="Times New Roman"/>
          <w:bCs/>
          <w:color w:val="auto"/>
          <w:sz w:val="18"/>
          <w:szCs w:val="24"/>
          <w:highlight w:val="none"/>
        </w:rPr>
        <w:t>说明：</w:t>
      </w:r>
      <w:r>
        <w:rPr>
          <w:rFonts w:ascii="Times New Roman" w:hAnsi="Times New Roman"/>
          <w:bCs/>
          <w:color w:val="auto"/>
          <w:kern w:val="0"/>
          <w:sz w:val="18"/>
          <w:szCs w:val="18"/>
          <w:highlight w:val="none"/>
        </w:rPr>
        <w:t>表内审核</w:t>
      </w:r>
      <w:r>
        <w:rPr>
          <w:bCs/>
          <w:color w:val="auto"/>
          <w:kern w:val="0"/>
          <w:sz w:val="18"/>
          <w:szCs w:val="18"/>
          <w:highlight w:val="none"/>
        </w:rPr>
        <w:t>：</w:t>
      </w:r>
      <w:r>
        <w:rPr>
          <w:rFonts w:hint="eastAsia" w:ascii="Times New Roman" w:hAnsi="Times New Roman" w:eastAsia="宋体" w:cs="Times New Roman"/>
          <w:bCs/>
          <w:color w:val="auto"/>
          <w:kern w:val="2"/>
          <w:sz w:val="18"/>
          <w:szCs w:val="18"/>
          <w:highlight w:val="none"/>
        </w:rPr>
        <w:t>（1）QJ09≥QJ67（2）QJ09≥QJ09_1（3）QJ09≥QJ09_3（4）QJ09≥QI07_0≥QI07_1+QI07_2</w:t>
      </w:r>
    </w:p>
    <w:p w14:paraId="3B33B561">
      <w:pPr>
        <w:spacing w:line="360" w:lineRule="exact"/>
        <w:ind w:firstLine="540" w:firstLineChars="300"/>
        <w:rPr>
          <w:rFonts w:hint="eastAsia" w:ascii="Times New Roman" w:hAnsi="Times New Roman"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rPr>
        <w:t>（5）</w:t>
      </w:r>
      <w:r>
        <w:rPr>
          <w:rFonts w:cs="Calibri"/>
          <w:bCs/>
          <w:color w:val="auto"/>
          <w:kern w:val="0"/>
          <w:sz w:val="18"/>
          <w:szCs w:val="18"/>
          <w:highlight w:val="none"/>
        </w:rPr>
        <w:t>若</w:t>
      </w:r>
      <w:r>
        <w:rPr>
          <w:rFonts w:hint="eastAsia" w:ascii="Times New Roman" w:hAnsi="Times New Roman" w:eastAsia="宋体" w:cs="Times New Roman"/>
          <w:bCs/>
          <w:color w:val="auto"/>
          <w:kern w:val="2"/>
          <w:sz w:val="18"/>
          <w:szCs w:val="18"/>
          <w:highlight w:val="none"/>
        </w:rPr>
        <w:t>QJ09&gt;0，</w:t>
      </w:r>
      <w:r>
        <w:rPr>
          <w:rFonts w:cs="Calibri"/>
          <w:bCs/>
          <w:color w:val="auto"/>
          <w:kern w:val="0"/>
          <w:sz w:val="18"/>
          <w:szCs w:val="18"/>
          <w:highlight w:val="none"/>
        </w:rPr>
        <w:t>则</w:t>
      </w:r>
      <w:r>
        <w:rPr>
          <w:rFonts w:hint="eastAsia" w:ascii="Times New Roman" w:hAnsi="Times New Roman" w:eastAsia="宋体" w:cs="Times New Roman"/>
          <w:bCs/>
          <w:color w:val="auto"/>
          <w:kern w:val="2"/>
          <w:sz w:val="18"/>
          <w:szCs w:val="18"/>
          <w:highlight w:val="none"/>
        </w:rPr>
        <w:t>QJ23_1&gt;0（6）</w:t>
      </w:r>
      <w:r>
        <w:rPr>
          <w:rFonts w:cs="Calibri"/>
          <w:bCs/>
          <w:color w:val="auto"/>
          <w:kern w:val="0"/>
          <w:sz w:val="18"/>
          <w:szCs w:val="18"/>
          <w:highlight w:val="none"/>
        </w:rPr>
        <w:t>若</w:t>
      </w:r>
      <w:r>
        <w:rPr>
          <w:rFonts w:hint="eastAsia" w:ascii="Times New Roman" w:hAnsi="Times New Roman" w:eastAsia="宋体" w:cs="Times New Roman"/>
          <w:bCs/>
          <w:color w:val="auto"/>
          <w:kern w:val="2"/>
          <w:sz w:val="18"/>
          <w:szCs w:val="18"/>
          <w:highlight w:val="none"/>
        </w:rPr>
        <w:t>QJ23_1&gt;0</w:t>
      </w:r>
      <w:r>
        <w:rPr>
          <w:rFonts w:cs="Calibri"/>
          <w:bCs/>
          <w:color w:val="auto"/>
          <w:kern w:val="0"/>
          <w:sz w:val="18"/>
          <w:szCs w:val="18"/>
          <w:highlight w:val="none"/>
        </w:rPr>
        <w:t>，则</w:t>
      </w:r>
      <w:r>
        <w:rPr>
          <w:rFonts w:hint="eastAsia" w:ascii="Times New Roman" w:hAnsi="Times New Roman" w:eastAsia="宋体" w:cs="Times New Roman"/>
          <w:bCs/>
          <w:color w:val="auto"/>
          <w:kern w:val="2"/>
          <w:sz w:val="18"/>
          <w:szCs w:val="18"/>
          <w:highlight w:val="none"/>
        </w:rPr>
        <w:t>QJ09&gt;0（7）QJ250≥QJ251</w:t>
      </w:r>
    </w:p>
    <w:p w14:paraId="383CBB4C">
      <w:pPr>
        <w:spacing w:line="360" w:lineRule="exact"/>
        <w:ind w:firstLine="540" w:firstLineChars="300"/>
        <w:rPr>
          <w:rFonts w:cs="Calibri"/>
          <w:bCs/>
          <w:color w:val="auto"/>
          <w:kern w:val="0"/>
          <w:sz w:val="18"/>
          <w:szCs w:val="18"/>
          <w:highlight w:val="none"/>
        </w:rPr>
      </w:pPr>
      <w:r>
        <w:rPr>
          <w:rFonts w:hint="eastAsia" w:ascii="Times New Roman" w:hAnsi="Times New Roman" w:eastAsia="宋体" w:cs="Times New Roman"/>
          <w:bCs/>
          <w:color w:val="auto"/>
          <w:kern w:val="2"/>
          <w:sz w:val="18"/>
          <w:szCs w:val="18"/>
          <w:highlight w:val="none"/>
        </w:rPr>
        <w:t>（8）QJ20=QJ23_1+QJ23_2+QJ23_3+QJ23_4+QJ23_6+QJ23_7+QJ33+QJ23_5（9）QI14_1≤QJ20</w:t>
      </w:r>
    </w:p>
    <w:p w14:paraId="208EC9E9">
      <w:pPr>
        <w:spacing w:line="360" w:lineRule="exact"/>
        <w:ind w:firstLine="540" w:firstLineChars="300"/>
        <w:rPr>
          <w:rFonts w:hint="eastAsia" w:ascii="Times New Roman" w:hAnsi="Times New Roman"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rPr>
        <w:t>（10）QJ33=QJ33_1+QJ33_2+QJ33_3+QJ33_4（11）</w:t>
      </w:r>
      <w:r>
        <w:rPr>
          <w:rFonts w:cs="Calibri"/>
          <w:bCs/>
          <w:color w:val="auto"/>
          <w:kern w:val="0"/>
          <w:sz w:val="18"/>
          <w:szCs w:val="18"/>
          <w:highlight w:val="none"/>
        </w:rPr>
        <w:t>若</w:t>
      </w:r>
      <w:r>
        <w:rPr>
          <w:rFonts w:hint="eastAsia" w:ascii="Times New Roman" w:hAnsi="Times New Roman" w:eastAsia="宋体" w:cs="Times New Roman"/>
          <w:bCs/>
          <w:color w:val="auto"/>
          <w:kern w:val="2"/>
          <w:sz w:val="18"/>
          <w:szCs w:val="18"/>
          <w:highlight w:val="none"/>
        </w:rPr>
        <w:t>QI01&gt;0，</w:t>
      </w:r>
      <w:r>
        <w:rPr>
          <w:rFonts w:cs="Calibri"/>
          <w:bCs/>
          <w:color w:val="auto"/>
          <w:kern w:val="0"/>
          <w:sz w:val="18"/>
          <w:szCs w:val="18"/>
          <w:highlight w:val="none"/>
        </w:rPr>
        <w:t>则</w:t>
      </w:r>
      <w:r>
        <w:rPr>
          <w:rFonts w:hint="eastAsia" w:ascii="Times New Roman" w:hAnsi="Times New Roman" w:eastAsia="宋体" w:cs="Times New Roman"/>
          <w:bCs/>
          <w:color w:val="auto"/>
          <w:kern w:val="2"/>
          <w:sz w:val="18"/>
          <w:szCs w:val="18"/>
          <w:highlight w:val="none"/>
        </w:rPr>
        <w:t>QI07_0&gt;0</w:t>
      </w:r>
      <w:r>
        <w:rPr>
          <w:rFonts w:cs="Calibri"/>
          <w:bCs/>
          <w:color w:val="auto"/>
          <w:kern w:val="0"/>
          <w:sz w:val="18"/>
          <w:szCs w:val="18"/>
          <w:highlight w:val="none"/>
        </w:rPr>
        <w:t>且</w:t>
      </w:r>
      <w:r>
        <w:rPr>
          <w:rFonts w:hint="eastAsia" w:ascii="Times New Roman" w:hAnsi="Times New Roman" w:eastAsia="宋体" w:cs="Times New Roman"/>
          <w:bCs/>
          <w:color w:val="auto"/>
          <w:kern w:val="2"/>
          <w:sz w:val="18"/>
          <w:szCs w:val="18"/>
          <w:highlight w:val="none"/>
        </w:rPr>
        <w:t>QI14_1&gt;0</w:t>
      </w:r>
    </w:p>
    <w:p w14:paraId="3DA26288">
      <w:pPr>
        <w:spacing w:line="360" w:lineRule="exact"/>
        <w:ind w:firstLine="540" w:firstLineChars="300"/>
        <w:rPr>
          <w:rFonts w:cs="Calibri"/>
          <w:bCs/>
          <w:color w:val="auto"/>
          <w:kern w:val="0"/>
          <w:sz w:val="18"/>
          <w:szCs w:val="18"/>
          <w:highlight w:val="none"/>
        </w:rPr>
      </w:pPr>
      <w:r>
        <w:rPr>
          <w:rFonts w:hint="eastAsia" w:ascii="Times New Roman" w:hAnsi="Times New Roman" w:eastAsia="宋体" w:cs="Times New Roman"/>
          <w:bCs/>
          <w:color w:val="auto"/>
          <w:kern w:val="2"/>
          <w:sz w:val="18"/>
          <w:szCs w:val="18"/>
          <w:highlight w:val="none"/>
        </w:rPr>
        <w:t>（12）</w:t>
      </w:r>
      <w:r>
        <w:rPr>
          <w:rFonts w:cs="Calibri"/>
          <w:bCs/>
          <w:color w:val="auto"/>
          <w:kern w:val="0"/>
          <w:sz w:val="18"/>
          <w:szCs w:val="18"/>
          <w:highlight w:val="none"/>
        </w:rPr>
        <w:t>若</w:t>
      </w:r>
      <w:r>
        <w:rPr>
          <w:rFonts w:hint="eastAsia" w:ascii="Times New Roman" w:hAnsi="Times New Roman" w:eastAsia="宋体" w:cs="Times New Roman"/>
          <w:bCs/>
          <w:color w:val="auto"/>
          <w:kern w:val="2"/>
          <w:sz w:val="18"/>
          <w:szCs w:val="18"/>
          <w:highlight w:val="none"/>
        </w:rPr>
        <w:t>QI07_0&gt;0</w:t>
      </w:r>
      <w:r>
        <w:rPr>
          <w:rFonts w:cs="Calibri"/>
          <w:bCs/>
          <w:color w:val="auto"/>
          <w:kern w:val="0"/>
          <w:sz w:val="18"/>
          <w:szCs w:val="18"/>
          <w:highlight w:val="none"/>
        </w:rPr>
        <w:t>，则</w:t>
      </w:r>
      <w:r>
        <w:rPr>
          <w:rFonts w:hint="eastAsia" w:ascii="Times New Roman" w:hAnsi="Times New Roman" w:eastAsia="宋体" w:cs="Times New Roman"/>
          <w:bCs/>
          <w:color w:val="auto"/>
          <w:kern w:val="2"/>
          <w:sz w:val="18"/>
          <w:szCs w:val="18"/>
          <w:highlight w:val="none"/>
        </w:rPr>
        <w:t>QI01&gt;0</w:t>
      </w:r>
      <w:r>
        <w:rPr>
          <w:rFonts w:cs="Calibri"/>
          <w:bCs/>
          <w:color w:val="auto"/>
          <w:kern w:val="0"/>
          <w:sz w:val="18"/>
          <w:szCs w:val="18"/>
          <w:highlight w:val="none"/>
        </w:rPr>
        <w:t>且</w:t>
      </w:r>
      <w:r>
        <w:rPr>
          <w:rFonts w:hint="eastAsia" w:ascii="Times New Roman" w:hAnsi="Times New Roman" w:eastAsia="宋体" w:cs="Times New Roman"/>
          <w:bCs/>
          <w:color w:val="auto"/>
          <w:kern w:val="2"/>
          <w:sz w:val="18"/>
          <w:szCs w:val="18"/>
          <w:highlight w:val="none"/>
        </w:rPr>
        <w:t>QI14_1&gt;0（13）</w:t>
      </w:r>
      <w:r>
        <w:rPr>
          <w:rFonts w:cs="Calibri"/>
          <w:bCs/>
          <w:color w:val="auto"/>
          <w:kern w:val="0"/>
          <w:sz w:val="18"/>
          <w:szCs w:val="18"/>
          <w:highlight w:val="none"/>
        </w:rPr>
        <w:t>若</w:t>
      </w:r>
      <w:r>
        <w:rPr>
          <w:rFonts w:hint="eastAsia" w:ascii="Times New Roman" w:hAnsi="Times New Roman" w:eastAsia="宋体" w:cs="Times New Roman"/>
          <w:bCs/>
          <w:color w:val="auto"/>
          <w:kern w:val="2"/>
          <w:sz w:val="18"/>
          <w:szCs w:val="18"/>
          <w:highlight w:val="none"/>
        </w:rPr>
        <w:t>QI14_1&gt;0</w:t>
      </w:r>
      <w:r>
        <w:rPr>
          <w:rFonts w:cs="Calibri"/>
          <w:bCs/>
          <w:color w:val="auto"/>
          <w:kern w:val="0"/>
          <w:sz w:val="18"/>
          <w:szCs w:val="18"/>
          <w:highlight w:val="none"/>
        </w:rPr>
        <w:t>，则</w:t>
      </w:r>
      <w:r>
        <w:rPr>
          <w:rFonts w:hint="eastAsia" w:ascii="Times New Roman" w:hAnsi="Times New Roman" w:eastAsia="宋体" w:cs="Times New Roman"/>
          <w:bCs/>
          <w:color w:val="auto"/>
          <w:kern w:val="2"/>
          <w:sz w:val="18"/>
          <w:szCs w:val="18"/>
          <w:highlight w:val="none"/>
        </w:rPr>
        <w:t>QI01&gt;0</w:t>
      </w:r>
      <w:r>
        <w:rPr>
          <w:rFonts w:cs="Calibri"/>
          <w:bCs/>
          <w:color w:val="auto"/>
          <w:kern w:val="0"/>
          <w:sz w:val="18"/>
          <w:szCs w:val="18"/>
          <w:highlight w:val="none"/>
        </w:rPr>
        <w:t>且</w:t>
      </w:r>
      <w:r>
        <w:rPr>
          <w:rFonts w:hint="eastAsia" w:ascii="Times New Roman" w:hAnsi="Times New Roman" w:eastAsia="宋体" w:cs="Times New Roman"/>
          <w:bCs/>
          <w:color w:val="auto"/>
          <w:kern w:val="2"/>
          <w:sz w:val="18"/>
          <w:szCs w:val="18"/>
          <w:highlight w:val="none"/>
        </w:rPr>
        <w:t>QI07_0&gt;0</w:t>
      </w:r>
    </w:p>
    <w:p w14:paraId="10BD5028">
      <w:pPr>
        <w:spacing w:line="360" w:lineRule="exact"/>
        <w:ind w:left="525" w:leftChars="250" w:firstLine="0" w:firstLineChars="0"/>
        <w:rPr>
          <w:rFonts w:hint="eastAsia" w:ascii="Times New Roman" w:hAnsi="Times New Roman"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rPr>
        <w:t>（14）QJ55≥QJ56（15）QJ55≥QJ55_1（16）QJ55≥QJ55_2（17）QJ56≥QJ56_1</w:t>
      </w:r>
    </w:p>
    <w:p w14:paraId="0C4582DD">
      <w:pPr>
        <w:spacing w:line="360" w:lineRule="exact"/>
        <w:ind w:left="525" w:leftChars="250" w:firstLine="0" w:firstLineChars="0"/>
        <w:rPr>
          <w:rFonts w:hint="eastAsia" w:ascii="Times New Roman" w:hAnsi="Times New Roman" w:eastAsia="宋体" w:cs="Times New Roman"/>
          <w:bCs/>
          <w:color w:val="auto"/>
          <w:kern w:val="2"/>
          <w:sz w:val="18"/>
          <w:szCs w:val="18"/>
          <w:highlight w:val="none"/>
        </w:rPr>
      </w:pPr>
      <w:r>
        <w:rPr>
          <w:rFonts w:hint="eastAsia" w:ascii="Times New Roman" w:hAnsi="Times New Roman" w:eastAsia="宋体" w:cs="Times New Roman"/>
          <w:bCs/>
          <w:color w:val="auto"/>
          <w:kern w:val="2"/>
          <w:sz w:val="18"/>
          <w:szCs w:val="18"/>
          <w:highlight w:val="none"/>
        </w:rPr>
        <w:t>（18）QJ74≥QJ57（19）QJ74≥QJ75（20）QJ83≥QJ83_1（21）QJ83≥QJ73</w:t>
      </w:r>
    </w:p>
    <w:p w14:paraId="5CD71786">
      <w:pPr>
        <w:spacing w:line="360" w:lineRule="exact"/>
        <w:ind w:firstLine="540" w:firstLineChars="300"/>
        <w:rPr>
          <w:rFonts w:cs="Calibri"/>
          <w:bCs/>
          <w:color w:val="auto"/>
          <w:kern w:val="0"/>
          <w:sz w:val="18"/>
          <w:szCs w:val="18"/>
          <w:highlight w:val="none"/>
        </w:rPr>
      </w:pPr>
      <w:r>
        <w:rPr>
          <w:rFonts w:hint="eastAsia" w:ascii="Times New Roman" w:hAnsi="Times New Roman" w:eastAsia="宋体" w:cs="Times New Roman"/>
          <w:bCs/>
          <w:color w:val="auto"/>
          <w:kern w:val="2"/>
          <w:sz w:val="18"/>
          <w:szCs w:val="18"/>
          <w:highlight w:val="none"/>
        </w:rPr>
        <w:t>（22）QJ83_1≥QJ82（23）QJ73≥QJ73_1（24）QJ71≥QJ72（25）QJ72≤QC11</w:t>
      </w:r>
    </w:p>
    <w:p w14:paraId="5D7EFB6B">
      <w:pPr>
        <w:spacing w:line="360" w:lineRule="exact"/>
        <w:ind w:firstLine="540" w:firstLineChars="300"/>
        <w:rPr>
          <w:rFonts w:cs="Calibri"/>
          <w:bCs/>
          <w:color w:val="auto"/>
          <w:kern w:val="0"/>
          <w:sz w:val="18"/>
          <w:szCs w:val="18"/>
          <w:highlight w:val="none"/>
        </w:rPr>
      </w:pPr>
      <w:r>
        <w:rPr>
          <w:rFonts w:hint="eastAsia" w:ascii="Times New Roman" w:hAnsi="Times New Roman" w:eastAsia="宋体" w:cs="Times New Roman"/>
          <w:bCs/>
          <w:color w:val="auto"/>
          <w:kern w:val="2"/>
          <w:sz w:val="18"/>
          <w:szCs w:val="18"/>
          <w:highlight w:val="none"/>
        </w:rPr>
        <w:t>（26）QJ79≥QJ77（27）QJ79≥QJ79_1（28）QJ85≥QJ85_1（29）QJ86≥QJ86_1</w:t>
      </w:r>
    </w:p>
    <w:p w14:paraId="61D7DD9A">
      <w:pPr>
        <w:spacing w:line="360" w:lineRule="exact"/>
        <w:ind w:firstLine="540" w:firstLineChars="300"/>
        <w:rPr>
          <w:rFonts w:cs="Calibri"/>
          <w:bCs/>
          <w:color w:val="auto"/>
          <w:kern w:val="0"/>
          <w:sz w:val="18"/>
          <w:szCs w:val="18"/>
          <w:highlight w:val="none"/>
        </w:rPr>
      </w:pPr>
      <w:r>
        <w:rPr>
          <w:rFonts w:hint="eastAsia" w:ascii="Times New Roman" w:hAnsi="Times New Roman" w:eastAsia="宋体" w:cs="Times New Roman"/>
          <w:bCs/>
          <w:color w:val="auto"/>
          <w:kern w:val="2"/>
          <w:sz w:val="18"/>
          <w:szCs w:val="18"/>
          <w:highlight w:val="none"/>
        </w:rPr>
        <w:t>（30）QJ87≥QJ87_1（31）QJ101≥QJ101_1（32）QJ100≥QJ100_1（33）QJ80_1≥QJ80_2</w:t>
      </w:r>
    </w:p>
    <w:p w14:paraId="2206F865">
      <w:pPr>
        <w:spacing w:line="360" w:lineRule="exact"/>
        <w:ind w:left="525" w:leftChars="250" w:firstLine="0" w:firstLineChars="0"/>
        <w:rPr>
          <w:rFonts w:hint="eastAsia"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kern w:val="2"/>
          <w:sz w:val="18"/>
          <w:szCs w:val="18"/>
          <w:highlight w:val="none"/>
        </w:rPr>
        <w:t>（34）QJ80_1≥QJ80_3（35）QJ80≥QJ80_4（36）QJ80≥QJ80_5</w:t>
      </w:r>
    </w:p>
    <w:p w14:paraId="04D5B976">
      <w:pPr>
        <w:tabs>
          <w:tab w:val="left" w:pos="753"/>
        </w:tabs>
        <w:snapToGrid w:val="0"/>
        <w:spacing w:line="360" w:lineRule="exact"/>
        <w:ind w:firstLine="540" w:firstLineChars="300"/>
        <w:jc w:val="both"/>
        <w:rPr>
          <w:color w:val="auto"/>
          <w:highlight w:val="none"/>
        </w:rPr>
      </w:pPr>
      <w:r>
        <w:rPr>
          <w:rFonts w:cs="Calibri"/>
          <w:bCs/>
          <w:color w:val="auto"/>
          <w:kern w:val="0"/>
          <w:sz w:val="18"/>
          <w:szCs w:val="18"/>
          <w:highlight w:val="none"/>
        </w:rPr>
        <w:t>表间审核：</w:t>
      </w:r>
      <w:r>
        <w:rPr>
          <w:rFonts w:hint="eastAsia" w:ascii="Times New Roman" w:hAnsi="Times New Roman" w:eastAsia="宋体" w:cs="Times New Roman"/>
          <w:bCs/>
          <w:color w:val="auto"/>
          <w:kern w:val="2"/>
          <w:sz w:val="18"/>
          <w:szCs w:val="18"/>
          <w:highlight w:val="none"/>
        </w:rPr>
        <w:t>（1）GQ-005</w:t>
      </w:r>
      <w:r>
        <w:rPr>
          <w:rFonts w:cs="Calibri"/>
          <w:bCs/>
          <w:color w:val="auto"/>
          <w:kern w:val="0"/>
          <w:sz w:val="18"/>
          <w:szCs w:val="18"/>
          <w:highlight w:val="none"/>
        </w:rPr>
        <w:t>表</w:t>
      </w:r>
      <w:r>
        <w:rPr>
          <w:rFonts w:hint="eastAsia" w:ascii="Times New Roman" w:hAnsi="Times New Roman" w:eastAsia="宋体" w:cs="Times New Roman"/>
          <w:bCs/>
          <w:color w:val="auto"/>
          <w:kern w:val="2"/>
          <w:sz w:val="18"/>
          <w:szCs w:val="18"/>
          <w:highlight w:val="none"/>
        </w:rPr>
        <w:t>QJ09*12≥GQ-004</w:t>
      </w:r>
      <w:r>
        <w:rPr>
          <w:rFonts w:cs="Calibri"/>
          <w:bCs/>
          <w:color w:val="auto"/>
          <w:kern w:val="0"/>
          <w:sz w:val="18"/>
          <w:szCs w:val="18"/>
          <w:highlight w:val="none"/>
        </w:rPr>
        <w:t>表</w:t>
      </w:r>
      <w:r>
        <w:rPr>
          <w:rFonts w:hint="eastAsia" w:ascii="Times New Roman" w:hAnsi="Times New Roman" w:eastAsia="宋体" w:cs="Times New Roman"/>
          <w:bCs/>
          <w:color w:val="auto"/>
          <w:kern w:val="2"/>
          <w:sz w:val="18"/>
          <w:szCs w:val="18"/>
          <w:highlight w:val="none"/>
        </w:rPr>
        <w:t>∑QH40（2）GQ-005</w:t>
      </w:r>
      <w:r>
        <w:rPr>
          <w:rFonts w:cs="Calibri"/>
          <w:bCs/>
          <w:color w:val="auto"/>
          <w:kern w:val="0"/>
          <w:sz w:val="18"/>
          <w:szCs w:val="18"/>
          <w:highlight w:val="none"/>
        </w:rPr>
        <w:t>表</w:t>
      </w:r>
      <w:r>
        <w:rPr>
          <w:rFonts w:hint="eastAsia" w:ascii="Times New Roman" w:hAnsi="Times New Roman" w:eastAsia="宋体" w:cs="Times New Roman"/>
          <w:bCs/>
          <w:color w:val="auto"/>
          <w:kern w:val="2"/>
          <w:sz w:val="18"/>
          <w:szCs w:val="18"/>
          <w:highlight w:val="none"/>
        </w:rPr>
        <w:t>QJ20≥GQ-004</w:t>
      </w:r>
      <w:r>
        <w:rPr>
          <w:rFonts w:cs="Calibri"/>
          <w:bCs/>
          <w:color w:val="auto"/>
          <w:kern w:val="0"/>
          <w:sz w:val="18"/>
          <w:szCs w:val="18"/>
          <w:highlight w:val="none"/>
        </w:rPr>
        <w:t>表</w:t>
      </w:r>
      <w:r>
        <w:rPr>
          <w:rFonts w:hint="eastAsia" w:ascii="Times New Roman" w:hAnsi="Times New Roman" w:eastAsia="宋体" w:cs="Times New Roman"/>
          <w:bCs/>
          <w:color w:val="auto"/>
          <w:kern w:val="2"/>
          <w:sz w:val="18"/>
          <w:szCs w:val="18"/>
          <w:highlight w:val="none"/>
        </w:rPr>
        <w:t>∑QH51</w:t>
      </w:r>
    </w:p>
    <w:p w14:paraId="7267589E">
      <w:pPr>
        <w:tabs>
          <w:tab w:val="left" w:pos="753"/>
        </w:tabs>
        <w:snapToGrid w:val="0"/>
        <w:spacing w:line="360" w:lineRule="exact"/>
        <w:ind w:firstLine="0" w:firstLineChars="0"/>
        <w:jc w:val="center"/>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br w:type="page"/>
      </w:r>
      <w:r>
        <w:rPr>
          <w:rFonts w:hint="eastAsia" w:ascii="黑体" w:hAnsi="黑体" w:eastAsia="黑体" w:cs="黑体"/>
          <w:b w:val="0"/>
          <w:bCs/>
          <w:color w:val="auto"/>
          <w:sz w:val="32"/>
          <w:szCs w:val="32"/>
          <w:highlight w:val="none"/>
        </w:rPr>
        <w:t>指标解释</w:t>
      </w:r>
    </w:p>
    <w:p w14:paraId="12DDA26C">
      <w:pPr>
        <w:pStyle w:val="9"/>
        <w:rPr>
          <w:rFonts w:ascii="Times New Roman" w:hAnsi="Times New Roman"/>
          <w:color w:val="auto"/>
          <w:highlight w:val="none"/>
        </w:rPr>
      </w:pPr>
    </w:p>
    <w:p w14:paraId="0B5F3047">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研究开发人员合计</w:t>
      </w:r>
      <w:r>
        <w:rPr>
          <w:rFonts w:hint="eastAsia" w:ascii="宋体" w:hAnsi="宋体"/>
          <w:bCs/>
          <w:color w:val="auto"/>
          <w:szCs w:val="21"/>
          <w:highlight w:val="none"/>
        </w:rPr>
        <w:t>指报告期内企业参加研究开发活动的人员合计。该指标应与企业会计账中有关研究开发会计科目或向税务部门提供的研发支出辅助账中人员人工费子科目里涉及的全部人员对应。</w:t>
      </w:r>
    </w:p>
    <w:p w14:paraId="67881261">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研究开发人员合计中管理和服务人员</w:t>
      </w:r>
      <w:r>
        <w:rPr>
          <w:rFonts w:hint="eastAsia" w:ascii="Times New Roman" w:hAnsi="Times New Roman"/>
          <w:bCs/>
          <w:color w:val="auto"/>
          <w:szCs w:val="21"/>
          <w:highlight w:val="none"/>
        </w:rPr>
        <w:t>指报告期内企业研究开发人员中主要从事项目管理和为项目提供直接服务的人员。管理人员包括企业主管研究开发项目工作的负责人，企业研究开发活动管理部门（科研管理处、部、科等）的工作人员以及企业办技术中心、科研院（所）、中试车间、试验基地、实验室等的管理人员；服务人员包括为研究开发活动提供资料文献、材料供应、设备维护等服务的人员（含中试车间、实验室、试验基地等的工人）。</w:t>
      </w:r>
    </w:p>
    <w:p w14:paraId="7AF00D4E">
      <w:pPr>
        <w:widowControl/>
        <w:spacing w:line="400" w:lineRule="exact"/>
        <w:ind w:firstLine="420" w:firstLineChars="200"/>
        <w:jc w:val="left"/>
        <w:rPr>
          <w:rFonts w:hint="eastAsia" w:ascii="Times New Roman" w:hAnsi="Times New Roman" w:eastAsia="宋体"/>
          <w:bCs/>
          <w:color w:val="auto"/>
          <w:szCs w:val="21"/>
          <w:highlight w:val="none"/>
          <w:lang w:eastAsia="zh-CN"/>
        </w:rPr>
      </w:pPr>
      <w:r>
        <w:rPr>
          <w:rFonts w:ascii="Times New Roman" w:hAnsi="Times New Roman" w:eastAsia="黑体"/>
          <w:bCs/>
          <w:color w:val="auto"/>
          <w:szCs w:val="21"/>
          <w:highlight w:val="none"/>
        </w:rPr>
        <w:t>研究开发人员合计中全职人员</w:t>
      </w:r>
      <w:r>
        <w:rPr>
          <w:rFonts w:hint="eastAsia" w:ascii="Times New Roman" w:hAnsi="Times New Roman"/>
          <w:bCs/>
          <w:color w:val="auto"/>
          <w:szCs w:val="21"/>
          <w:highlight w:val="none"/>
        </w:rPr>
        <w:t>指报告期内企业研究开发人员中实际从事研究开发活动的时间占制度工作时间90%及以上的人员</w:t>
      </w:r>
      <w:r>
        <w:rPr>
          <w:rFonts w:hint="eastAsia" w:ascii="Times New Roman" w:hAnsi="Times New Roman"/>
          <w:bCs/>
          <w:color w:val="auto"/>
          <w:szCs w:val="21"/>
          <w:highlight w:val="none"/>
          <w:lang w:eastAsia="zh-CN"/>
        </w:rPr>
        <w:t>。</w:t>
      </w:r>
    </w:p>
    <w:p w14:paraId="30DEFB9B">
      <w:pPr>
        <w:spacing w:line="400" w:lineRule="exact"/>
        <w:ind w:firstLine="420" w:firstLineChars="200"/>
        <w:rPr>
          <w:rFonts w:ascii="Times New Roman" w:hAnsi="Times New Roman"/>
          <w:bCs/>
          <w:color w:val="auto"/>
          <w:sz w:val="24"/>
          <w:szCs w:val="24"/>
          <w:highlight w:val="none"/>
        </w:rPr>
      </w:pPr>
      <w:r>
        <w:rPr>
          <w:rFonts w:ascii="Times New Roman" w:hAnsi="Times New Roman" w:eastAsia="黑体"/>
          <w:bCs/>
          <w:color w:val="auto"/>
          <w:szCs w:val="21"/>
          <w:highlight w:val="none"/>
        </w:rPr>
        <w:t>研究开发人员合计中本科毕业及以上人员</w:t>
      </w:r>
      <w:r>
        <w:rPr>
          <w:rFonts w:hint="eastAsia" w:ascii="Times New Roman" w:hAnsi="Times New Roman"/>
          <w:bCs/>
          <w:color w:val="auto"/>
          <w:szCs w:val="21"/>
          <w:highlight w:val="none"/>
        </w:rPr>
        <w:t>指报告期内企业研究开发人员中具有大学本科学历或学士学位及以上学历或学位的人员。</w:t>
      </w:r>
    </w:p>
    <w:p w14:paraId="4F6FD4A2">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研究开发人员合计中外聘人员</w:t>
      </w:r>
      <w:r>
        <w:rPr>
          <w:rFonts w:hint="eastAsia" w:ascii="Times New Roman" w:hAnsi="Times New Roman"/>
          <w:bCs/>
          <w:color w:val="auto"/>
          <w:szCs w:val="21"/>
          <w:highlight w:val="none"/>
        </w:rPr>
        <w:t>指报告期内企业研究开发人员中外聘的人员。</w:t>
      </w:r>
    </w:p>
    <w:p w14:paraId="2DD65FAE">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研究开发费用合计</w:t>
      </w:r>
      <w:r>
        <w:rPr>
          <w:rFonts w:hint="eastAsia" w:ascii="Times New Roman" w:hAnsi="Times New Roman"/>
          <w:bCs/>
          <w:color w:val="auto"/>
          <w:szCs w:val="21"/>
          <w:highlight w:val="none"/>
        </w:rPr>
        <w:t>指报告期内企业用于研究开发活动的费用合计，包括人员人工费用、直接投入费用、折旧费用与长期待摊费用、无形资产摊销费用、设计费用、装备调试费用与试验费用、委托外部研究开发费用及其他费用。该指标应与企业会计账中有关研究开发会计科目或向税务部门提供的研发支出辅助账中研究开发费用对应。</w:t>
      </w:r>
    </w:p>
    <w:p w14:paraId="4A46C491">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研究开发费用合计中人员人工费</w:t>
      </w:r>
      <w:r>
        <w:rPr>
          <w:rFonts w:hint="eastAsia" w:ascii="Times New Roman" w:hAnsi="Times New Roman"/>
          <w:bCs/>
          <w:color w:val="auto"/>
          <w:szCs w:val="21"/>
          <w:highlight w:val="none"/>
        </w:rPr>
        <w:t>指报告期内企业研究开发人员的工资薪金、基本养老保险费、基本医疗保险费、失业保险费、工伤保险费、生育保险费和住房公积金，以及外聘研究开发人员的劳务费用等。该指标应与企业会计账中有关研究开发会计科目或向税务部门提供的研发支出辅助账中人员人工费用对应。</w:t>
      </w:r>
    </w:p>
    <w:p w14:paraId="5C294019">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研究开发费用合计中直接投入费用</w:t>
      </w:r>
      <w:r>
        <w:rPr>
          <w:rFonts w:hint="eastAsia" w:ascii="Times New Roman" w:hAnsi="Times New Roman"/>
          <w:bCs/>
          <w:color w:val="auto"/>
          <w:szCs w:val="21"/>
          <w:highlight w:val="none"/>
        </w:rPr>
        <w:t>指报告期内企业为实施研究开发活动而实际发生的相关支出。包括直接消耗的材料、燃料和动力费用；用于中间试验和产品试制的模具、工艺装备开发及制造费，不构成固定资产的样品、样机及一般测试手段购置费，试制产品的检验费；用于研究开发活动的仪器、设备的运行维护、调整、检验、检测、维修等费用，以及通过经营租赁方式租入的用于研究开发活动的固定资产租赁费等。该指标应与企业会计账中有关研究开发会计科目或向税务部门提供的研发支出辅助账中直接投入费用对应。</w:t>
      </w:r>
    </w:p>
    <w:p w14:paraId="173D21CF">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研究开发费用合计中折旧费用与长期待摊费用</w:t>
      </w:r>
      <w:r>
        <w:rPr>
          <w:rFonts w:hint="eastAsia" w:ascii="Times New Roman" w:hAnsi="Times New Roman"/>
          <w:bCs/>
          <w:color w:val="auto"/>
          <w:szCs w:val="21"/>
          <w:highlight w:val="none"/>
        </w:rPr>
        <w:t>指报告期内企业用于研究开发活动的仪器、设备和在用建筑物的折旧费，以及研究开发设施的改建、改装、装修和修理过程中发生的长期待摊费用等。该指标应与企业会计账中有关研究开发会计科目或向税务部门提供的有研发支出辅助账中折旧费用对应。</w:t>
      </w:r>
    </w:p>
    <w:p w14:paraId="10AA2B9E">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研究开发费用合计中无形资产摊销费用</w:t>
      </w:r>
      <w:r>
        <w:rPr>
          <w:rFonts w:hint="eastAsia" w:ascii="Times New Roman" w:hAnsi="Times New Roman"/>
          <w:bCs/>
          <w:color w:val="auto"/>
          <w:szCs w:val="21"/>
          <w:highlight w:val="none"/>
        </w:rPr>
        <w:t>指报告期内企业用于研究开发活动的软件、知识产权、非专利技术（专有技术、许可证、设计和计算方法等）的摊销费用等。该指标应与企业会计账中有关研究开发会计科目或向税务部门提供的研发支出辅助账中无形资产摊销费用对应。</w:t>
      </w:r>
    </w:p>
    <w:p w14:paraId="2C9ED82C">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研究开发费用合计中设计费用</w:t>
      </w:r>
      <w:r>
        <w:rPr>
          <w:rFonts w:hint="eastAsia" w:ascii="Times New Roman" w:hAnsi="Times New Roman"/>
          <w:bCs/>
          <w:color w:val="auto"/>
          <w:szCs w:val="21"/>
          <w:highlight w:val="none"/>
        </w:rPr>
        <w:t>指报告期内企业为新产品和新工艺进行构思、开发和制造，进行工序、技术规范、规程制定、操作特性方面的设计等发生的费用，包括为获得创新性、创意性、突破性产品进行的创意设计活动发生的相关费用等。该指标应与企业会计账中有关研究开发会计科目或向税务部门提供的研发支出辅助账中设计费用对应。对于按照研究开发费用加计扣除减免政策进行核算的企业，该指标应与其新产品设计费用和新工艺规程制定费用合计对应。</w:t>
      </w:r>
    </w:p>
    <w:p w14:paraId="2CE07CC1">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研究开发费用合计中装备调试费用与试验费用</w:t>
      </w:r>
      <w:r>
        <w:rPr>
          <w:rFonts w:hint="eastAsia" w:ascii="Times New Roman" w:hAnsi="Times New Roman"/>
          <w:bCs/>
          <w:color w:val="auto"/>
          <w:szCs w:val="21"/>
          <w:highlight w:val="none"/>
        </w:rPr>
        <w:t>装备调试费用指报告期内企业在工装准备过程中研究开发活动所发生的费用，包括研制特殊、专用的生产机器，改变生产和质量控制程序，或制定新方法及标准等活动所发生的费用。不包括为大规模批量化和商业化生产所进行的常规性工装准备和工业工程发生的费用。试验费用包括新药研制的临床试验费、勘探开发技术的现场试验费、田间试验费等。该指标应与企业会计账中有关研究开发会计科目或向税务部门提供的研发支出辅助账中设计费用对应。对于按照研究开发费用加计扣除减免政策进行核算的企业，该指标应与其新药研制的临床试验费和勘探开发技术的现场试验费合计对应。</w:t>
      </w:r>
    </w:p>
    <w:p w14:paraId="7745C279">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研究开发费用合计中委托外部研究开发费用</w:t>
      </w:r>
      <w:r>
        <w:rPr>
          <w:rFonts w:hint="eastAsia" w:ascii="Times New Roman" w:hAnsi="Times New Roman"/>
          <w:bCs/>
          <w:color w:val="auto"/>
          <w:szCs w:val="21"/>
          <w:highlight w:val="none"/>
        </w:rPr>
        <w:t>指报告期内企业委托境内外其他机构进行研究开发活动所发生的费用。该指标应与企业会计账中有关研究开发会计科目或向税务部门提供的研发支出辅助账中委托研发费用对应。</w:t>
      </w:r>
    </w:p>
    <w:p w14:paraId="1E803776">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委托外部研究开发费用中委托境内研究机构</w:t>
      </w:r>
      <w:r>
        <w:rPr>
          <w:rFonts w:hint="eastAsia" w:ascii="Times New Roman" w:hAnsi="Times New Roman"/>
          <w:bCs/>
          <w:color w:val="auto"/>
          <w:szCs w:val="21"/>
          <w:highlight w:val="none"/>
        </w:rPr>
        <w:t>指报告期内企业委托境内独立研究机构开展研究开发活动而支付予其的费用。</w:t>
      </w:r>
    </w:p>
    <w:p w14:paraId="466E534C">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委托外部研究开发费用中委托境内高等学校</w:t>
      </w:r>
      <w:r>
        <w:rPr>
          <w:rFonts w:hint="eastAsia" w:ascii="Times New Roman" w:hAnsi="Times New Roman"/>
          <w:bCs/>
          <w:color w:val="auto"/>
          <w:szCs w:val="21"/>
          <w:highlight w:val="none"/>
        </w:rPr>
        <w:t>指报告期内企业委托境内高等学校开展研究开发活动而支付予其的费用。</w:t>
      </w:r>
    </w:p>
    <w:p w14:paraId="3C9B8568">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委托外部研究开发费用中委托境内企业</w:t>
      </w:r>
      <w:r>
        <w:rPr>
          <w:rFonts w:hint="eastAsia" w:ascii="Times New Roman" w:hAnsi="Times New Roman"/>
          <w:bCs/>
          <w:color w:val="auto"/>
          <w:szCs w:val="21"/>
          <w:highlight w:val="none"/>
        </w:rPr>
        <w:t>指报告期内企业委托境内其他企业开展研究开发活动而支付予其的费用。</w:t>
      </w:r>
    </w:p>
    <w:p w14:paraId="402FDC10">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委托外部研究开发费用中委托境外机构</w:t>
      </w:r>
      <w:r>
        <w:rPr>
          <w:rFonts w:hint="eastAsia" w:ascii="Times New Roman" w:hAnsi="Times New Roman"/>
          <w:bCs/>
          <w:color w:val="auto"/>
          <w:szCs w:val="21"/>
          <w:highlight w:val="none"/>
        </w:rPr>
        <w:t>指报告期内企业委托国外或港澳台机构开展研究开发活动而支付予其的费用。</w:t>
      </w:r>
    </w:p>
    <w:p w14:paraId="0BC0E695">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研究开发费用合计中其他费用</w:t>
      </w:r>
      <w:r>
        <w:rPr>
          <w:rFonts w:hint="eastAsia" w:ascii="Times New Roman" w:hAnsi="Times New Roman"/>
          <w:bCs/>
          <w:color w:val="auto"/>
          <w:szCs w:val="21"/>
          <w:highlight w:val="none"/>
        </w:rPr>
        <w:t>指报告期内企业除上述费用之外与研究开发活动直接相关的其他费用，包括技术图书资料费、资料翻译费、专家咨询费、高新科技研发保险费，研发成果的检索、论证、评审、鉴定、验收费用，知识产权的申请费、注册费、代理费，会议费、差旅费、通讯费等。该指标应与企业会计账中有关研究开发会计科目或向税务部门提供的研发支出辅助账中其他相关费用对应。</w:t>
      </w:r>
    </w:p>
    <w:p w14:paraId="7802BE88">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当年形成用于研究开发的固定资产</w:t>
      </w:r>
      <w:r>
        <w:rPr>
          <w:rFonts w:hint="eastAsia" w:ascii="Times New Roman" w:hAnsi="Times New Roman"/>
          <w:bCs/>
          <w:color w:val="auto"/>
          <w:szCs w:val="21"/>
          <w:highlight w:val="none"/>
        </w:rPr>
        <w:t>指报告期内企业形成用于研究开发的固定资产原价。该指标应与企业有关会计科目计入的形成用于企业研究开发活动的固定资产原价对应。对于研究开发与生产共用的固定资产应按比例进行分摊，其中仪器和设备一般应按使用时间进行分摊，建筑物一般应按使用面积进行分摊。</w:t>
      </w:r>
    </w:p>
    <w:p w14:paraId="1FECA81E">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当年形成用于研究开发的固定资产中的仪器和设备</w:t>
      </w:r>
      <w:r>
        <w:rPr>
          <w:rFonts w:hint="eastAsia" w:ascii="Times New Roman" w:hAnsi="Times New Roman"/>
          <w:bCs/>
          <w:color w:val="auto"/>
          <w:szCs w:val="21"/>
          <w:highlight w:val="none"/>
        </w:rPr>
        <w:t>指报告期内企业形成用于研究开发的固定资产中的仪器和设备原价。其中，设备包括用于研究开发活动的各类机器和设备、试验测量仪器、运输工具、工装工具等。</w:t>
      </w:r>
    </w:p>
    <w:p w14:paraId="01D61861">
      <w:pPr>
        <w:widowControl/>
        <w:spacing w:line="400" w:lineRule="exact"/>
        <w:ind w:firstLine="420" w:firstLineChars="200"/>
        <w:jc w:val="left"/>
        <w:rPr>
          <w:rFonts w:ascii="Times New Roman" w:hAnsi="Times New Roman" w:eastAsia="黑体"/>
          <w:bCs/>
          <w:color w:val="auto"/>
          <w:szCs w:val="21"/>
          <w:highlight w:val="none"/>
        </w:rPr>
      </w:pPr>
      <w:r>
        <w:rPr>
          <w:rFonts w:ascii="Times New Roman" w:hAnsi="Times New Roman" w:eastAsia="黑体"/>
          <w:bCs/>
          <w:color w:val="auto"/>
          <w:szCs w:val="21"/>
          <w:highlight w:val="none"/>
        </w:rPr>
        <w:t>研究开发经费来源情况</w:t>
      </w:r>
      <w:r>
        <w:rPr>
          <w:rFonts w:ascii="宋体" w:hAnsi="宋体"/>
          <w:bCs/>
          <w:color w:val="auto"/>
          <w:szCs w:val="21"/>
          <w:highlight w:val="none"/>
        </w:rPr>
        <w:t>指报告期内企业从各种途径获得的研究开发经费情况，</w:t>
      </w:r>
      <w:r>
        <w:rPr>
          <w:rFonts w:hint="eastAsia" w:ascii="宋体" w:hAnsi="宋体"/>
          <w:bCs/>
          <w:color w:val="auto"/>
          <w:szCs w:val="21"/>
          <w:highlight w:val="none"/>
        </w:rPr>
        <w:t>主要</w:t>
      </w:r>
      <w:r>
        <w:rPr>
          <w:rFonts w:ascii="宋体" w:hAnsi="宋体"/>
          <w:bCs/>
          <w:color w:val="auto"/>
          <w:szCs w:val="21"/>
          <w:highlight w:val="none"/>
        </w:rPr>
        <w:t>包括</w:t>
      </w:r>
      <w:r>
        <w:rPr>
          <w:rFonts w:hint="eastAsia" w:ascii="宋体" w:hAnsi="宋体"/>
          <w:bCs/>
          <w:color w:val="auto"/>
          <w:szCs w:val="21"/>
          <w:highlight w:val="none"/>
        </w:rPr>
        <w:t>研究和试验发展阶段与研究开发有关的人、财、物、时间、信息等资源的投入科技经费的总量，不包括产业化阶段的投入。研究开发</w:t>
      </w:r>
      <w:r>
        <w:rPr>
          <w:rFonts w:ascii="宋体" w:hAnsi="宋体"/>
          <w:bCs/>
          <w:color w:val="auto"/>
          <w:szCs w:val="21"/>
          <w:highlight w:val="none"/>
        </w:rPr>
        <w:t>经费主要</w:t>
      </w:r>
      <w:r>
        <w:rPr>
          <w:rFonts w:hint="eastAsia" w:ascii="宋体" w:hAnsi="宋体"/>
          <w:bCs/>
          <w:color w:val="auto"/>
          <w:szCs w:val="21"/>
          <w:highlight w:val="none"/>
        </w:rPr>
        <w:t>分为：（</w:t>
      </w:r>
      <w:r>
        <w:rPr>
          <w:rFonts w:ascii="Times New Roman" w:hAnsi="Times New Roman"/>
          <w:bCs/>
          <w:color w:val="auto"/>
          <w:szCs w:val="21"/>
          <w:highlight w:val="none"/>
        </w:rPr>
        <w:t>1）对科学研究与试验发展活动的投入，其中包括基础研究、应用研究和试验发展三种类型；（2）对科技教育与培训的投入；（3）科学</w:t>
      </w:r>
      <w:r>
        <w:rPr>
          <w:rFonts w:ascii="宋体" w:hAnsi="宋体"/>
          <w:bCs/>
          <w:color w:val="auto"/>
          <w:szCs w:val="21"/>
          <w:highlight w:val="none"/>
        </w:rPr>
        <w:t>技术服务过程中的技术开发投入；</w:t>
      </w:r>
      <w:r>
        <w:rPr>
          <w:rFonts w:ascii="Times New Roman" w:hAnsi="Times New Roman"/>
          <w:bCs/>
          <w:color w:val="auto"/>
          <w:szCs w:val="21"/>
          <w:highlight w:val="none"/>
        </w:rPr>
        <w:t>（4）对科技成果转化与应用的投入，包括设计与试制、小批试制、工业性试验等。（5）与研究开发有关的其它投入。主要反映企业开展科学研究与试验发展、科学研究与试验发展成果应用、科技教育与培训及相关科技服务等全部研究开发的支出情况。企业接受外单位委托所开展的科研活动相关支出不作为本企业的科技支出反映。来源渠道包括企业自</w:t>
      </w:r>
      <w:r>
        <w:rPr>
          <w:rFonts w:ascii="宋体" w:hAnsi="宋体"/>
          <w:bCs/>
          <w:color w:val="auto"/>
          <w:szCs w:val="21"/>
          <w:highlight w:val="none"/>
        </w:rPr>
        <w:t>筹、政府部门、银行贷款、风险投资、其他渠道等。</w:t>
      </w:r>
    </w:p>
    <w:p w14:paraId="4D639372">
      <w:pPr>
        <w:widowControl/>
        <w:spacing w:line="360" w:lineRule="exact"/>
        <w:ind w:firstLine="420" w:firstLineChars="200"/>
        <w:rPr>
          <w:rFonts w:hint="eastAsia" w:ascii="宋体" w:hAnsi="宋体" w:cs="宋体"/>
          <w:color w:val="auto"/>
          <w:highlight w:val="none"/>
        </w:rPr>
      </w:pPr>
      <w:r>
        <w:rPr>
          <w:rFonts w:hint="eastAsia" w:ascii="黑体" w:hAnsi="黑体" w:eastAsia="黑体" w:cs="宋体"/>
          <w:color w:val="auto"/>
          <w:highlight w:val="none"/>
        </w:rPr>
        <w:t>来自</w:t>
      </w:r>
      <w:r>
        <w:rPr>
          <w:rFonts w:ascii="黑体" w:hAnsi="黑体" w:eastAsia="黑体" w:cs="宋体"/>
          <w:color w:val="auto"/>
          <w:highlight w:val="none"/>
        </w:rPr>
        <w:t>企业自筹</w:t>
      </w:r>
      <w:r>
        <w:rPr>
          <w:rFonts w:hint="eastAsia" w:ascii="宋体" w:hAnsi="宋体" w:cs="宋体"/>
          <w:color w:val="auto"/>
          <w:highlight w:val="none"/>
        </w:rPr>
        <w:t>指报告期内企业来源</w:t>
      </w:r>
      <w:r>
        <w:rPr>
          <w:rFonts w:ascii="宋体" w:hAnsi="宋体" w:cs="宋体"/>
          <w:color w:val="auto"/>
          <w:highlight w:val="none"/>
        </w:rPr>
        <w:t>于企业自有资金的研究开发经费合计，包括</w:t>
      </w:r>
      <w:r>
        <w:rPr>
          <w:rFonts w:hint="eastAsia" w:ascii="宋体" w:hAnsi="宋体" w:cs="宋体"/>
          <w:color w:val="auto"/>
          <w:highlight w:val="none"/>
        </w:rPr>
        <w:t>用于</w:t>
      </w:r>
      <w:r>
        <w:rPr>
          <w:rFonts w:ascii="宋体" w:hAnsi="宋体" w:cs="宋体"/>
          <w:color w:val="auto"/>
          <w:highlight w:val="none"/>
        </w:rPr>
        <w:t>各项</w:t>
      </w:r>
      <w:r>
        <w:rPr>
          <w:rFonts w:hint="eastAsia" w:ascii="宋体" w:hAnsi="宋体" w:cs="宋体"/>
          <w:color w:val="auto"/>
          <w:highlight w:val="none"/>
        </w:rPr>
        <w:t>研究</w:t>
      </w:r>
      <w:r>
        <w:rPr>
          <w:rFonts w:ascii="宋体" w:hAnsi="宋体" w:cs="宋体"/>
          <w:color w:val="auto"/>
          <w:highlight w:val="none"/>
        </w:rPr>
        <w:t>开发费用</w:t>
      </w:r>
      <w:r>
        <w:rPr>
          <w:rFonts w:hint="eastAsia" w:ascii="宋体" w:hAnsi="宋体" w:cs="宋体"/>
          <w:color w:val="auto"/>
          <w:highlight w:val="none"/>
        </w:rPr>
        <w:t>支出</w:t>
      </w:r>
      <w:r>
        <w:rPr>
          <w:rFonts w:ascii="宋体" w:hAnsi="宋体" w:cs="宋体"/>
          <w:color w:val="auto"/>
          <w:highlight w:val="none"/>
        </w:rPr>
        <w:t>，也包括</w:t>
      </w:r>
      <w:r>
        <w:rPr>
          <w:rFonts w:hint="eastAsia" w:ascii="宋体" w:hAnsi="宋体" w:cs="宋体"/>
          <w:color w:val="auto"/>
          <w:highlight w:val="none"/>
        </w:rPr>
        <w:t>用于</w:t>
      </w:r>
      <w:r>
        <w:rPr>
          <w:rFonts w:ascii="宋体" w:hAnsi="宋体" w:cs="宋体"/>
          <w:color w:val="auto"/>
          <w:highlight w:val="none"/>
        </w:rPr>
        <w:t>研究开发的</w:t>
      </w:r>
      <w:r>
        <w:rPr>
          <w:rFonts w:hint="eastAsia" w:ascii="宋体" w:hAnsi="宋体" w:cs="宋体"/>
          <w:color w:val="auto"/>
          <w:highlight w:val="none"/>
        </w:rPr>
        <w:t>仪器</w:t>
      </w:r>
      <w:r>
        <w:rPr>
          <w:rFonts w:ascii="宋体" w:hAnsi="宋体" w:cs="宋体"/>
          <w:color w:val="auto"/>
          <w:highlight w:val="none"/>
        </w:rPr>
        <w:t>设备等资产投入。</w:t>
      </w:r>
    </w:p>
    <w:p w14:paraId="65B5611F">
      <w:pPr>
        <w:spacing w:line="360" w:lineRule="exact"/>
        <w:ind w:firstLine="420" w:firstLineChars="200"/>
        <w:rPr>
          <w:rFonts w:hint="eastAsia" w:ascii="宋体" w:hAnsi="宋体" w:cs="宋体"/>
          <w:color w:val="auto"/>
          <w:highlight w:val="none"/>
        </w:rPr>
      </w:pPr>
      <w:r>
        <w:rPr>
          <w:rFonts w:hint="eastAsia" w:ascii="黑体" w:hAnsi="黑体" w:eastAsia="黑体" w:cs="宋体"/>
          <w:color w:val="auto"/>
          <w:highlight w:val="none"/>
        </w:rPr>
        <w:t>来自政府部门</w:t>
      </w:r>
      <w:r>
        <w:rPr>
          <w:rFonts w:hint="eastAsia" w:ascii="宋体" w:hAnsi="宋体" w:cs="宋体"/>
          <w:color w:val="auto"/>
          <w:highlight w:val="none"/>
        </w:rPr>
        <w:t>指报告期内企业从政府有关部门获得的研究开发经费合计，包括科技专项费、科研基建费、政府专项基金和补贴等。该指标应与有关会计科目计入的从政府有关部门获得的研究开发经费对应。</w:t>
      </w:r>
    </w:p>
    <w:p w14:paraId="5C310173">
      <w:pPr>
        <w:widowControl/>
        <w:spacing w:line="360" w:lineRule="exact"/>
        <w:ind w:firstLine="420" w:firstLineChars="200"/>
        <w:rPr>
          <w:rFonts w:hint="eastAsia" w:ascii="宋体" w:hAnsi="宋体" w:cs="宋体"/>
          <w:color w:val="auto"/>
          <w:highlight w:val="none"/>
        </w:rPr>
      </w:pPr>
      <w:r>
        <w:rPr>
          <w:rFonts w:hint="eastAsia" w:ascii="黑体" w:hAnsi="黑体" w:eastAsia="黑体" w:cs="宋体"/>
          <w:color w:val="auto"/>
          <w:highlight w:val="none"/>
        </w:rPr>
        <w:t>来自</w:t>
      </w:r>
      <w:r>
        <w:rPr>
          <w:rFonts w:ascii="黑体" w:hAnsi="黑体" w:eastAsia="黑体" w:cs="宋体"/>
          <w:color w:val="auto"/>
          <w:highlight w:val="none"/>
        </w:rPr>
        <w:t>银行贷款</w:t>
      </w:r>
      <w:r>
        <w:rPr>
          <w:rFonts w:hint="eastAsia" w:ascii="宋体" w:hAnsi="宋体" w:cs="宋体"/>
          <w:color w:val="auto"/>
          <w:highlight w:val="none"/>
        </w:rPr>
        <w:t>指报告期内企业来源</w:t>
      </w:r>
      <w:r>
        <w:rPr>
          <w:rFonts w:ascii="宋体" w:hAnsi="宋体" w:cs="宋体"/>
          <w:color w:val="auto"/>
          <w:highlight w:val="none"/>
        </w:rPr>
        <w:t>于银行贷款的研究开发经费合计</w:t>
      </w:r>
      <w:r>
        <w:rPr>
          <w:rFonts w:hint="eastAsia" w:ascii="宋体" w:hAnsi="宋体" w:cs="宋体"/>
          <w:color w:val="auto"/>
          <w:highlight w:val="none"/>
        </w:rPr>
        <w:t>，</w:t>
      </w:r>
      <w:r>
        <w:rPr>
          <w:rFonts w:ascii="宋体" w:hAnsi="宋体" w:cs="宋体"/>
          <w:color w:val="auto"/>
          <w:highlight w:val="none"/>
        </w:rPr>
        <w:t>包括</w:t>
      </w:r>
      <w:r>
        <w:rPr>
          <w:rFonts w:hint="eastAsia" w:ascii="宋体" w:hAnsi="宋体" w:cs="宋体"/>
          <w:color w:val="auto"/>
          <w:highlight w:val="none"/>
        </w:rPr>
        <w:t>用于</w:t>
      </w:r>
      <w:r>
        <w:rPr>
          <w:rFonts w:ascii="宋体" w:hAnsi="宋体" w:cs="宋体"/>
          <w:color w:val="auto"/>
          <w:highlight w:val="none"/>
        </w:rPr>
        <w:t>各项</w:t>
      </w:r>
      <w:r>
        <w:rPr>
          <w:rFonts w:hint="eastAsia" w:ascii="宋体" w:hAnsi="宋体" w:cs="宋体"/>
          <w:color w:val="auto"/>
          <w:highlight w:val="none"/>
        </w:rPr>
        <w:t>研究</w:t>
      </w:r>
      <w:r>
        <w:rPr>
          <w:rFonts w:ascii="宋体" w:hAnsi="宋体" w:cs="宋体"/>
          <w:color w:val="auto"/>
          <w:highlight w:val="none"/>
        </w:rPr>
        <w:t>开发费用</w:t>
      </w:r>
      <w:r>
        <w:rPr>
          <w:rFonts w:hint="eastAsia" w:ascii="宋体" w:hAnsi="宋体" w:cs="宋体"/>
          <w:color w:val="auto"/>
          <w:highlight w:val="none"/>
        </w:rPr>
        <w:t>支出</w:t>
      </w:r>
      <w:r>
        <w:rPr>
          <w:rFonts w:ascii="宋体" w:hAnsi="宋体" w:cs="宋体"/>
          <w:color w:val="auto"/>
          <w:highlight w:val="none"/>
        </w:rPr>
        <w:t>，也包括</w:t>
      </w:r>
      <w:r>
        <w:rPr>
          <w:rFonts w:hint="eastAsia" w:ascii="宋体" w:hAnsi="宋体" w:cs="宋体"/>
          <w:color w:val="auto"/>
          <w:highlight w:val="none"/>
        </w:rPr>
        <w:t>用于</w:t>
      </w:r>
      <w:r>
        <w:rPr>
          <w:rFonts w:ascii="宋体" w:hAnsi="宋体" w:cs="宋体"/>
          <w:color w:val="auto"/>
          <w:highlight w:val="none"/>
        </w:rPr>
        <w:t>研究开发的</w:t>
      </w:r>
      <w:r>
        <w:rPr>
          <w:rFonts w:hint="eastAsia" w:ascii="宋体" w:hAnsi="宋体" w:cs="宋体"/>
          <w:color w:val="auto"/>
          <w:highlight w:val="none"/>
        </w:rPr>
        <w:t>仪器</w:t>
      </w:r>
      <w:r>
        <w:rPr>
          <w:rFonts w:ascii="宋体" w:hAnsi="宋体" w:cs="宋体"/>
          <w:color w:val="auto"/>
          <w:highlight w:val="none"/>
        </w:rPr>
        <w:t>设备等资产投入。</w:t>
      </w:r>
    </w:p>
    <w:p w14:paraId="1B3198C0">
      <w:pPr>
        <w:widowControl/>
        <w:spacing w:line="360" w:lineRule="exact"/>
        <w:ind w:firstLine="420" w:firstLineChars="200"/>
        <w:rPr>
          <w:rFonts w:hint="eastAsia" w:ascii="宋体" w:hAnsi="宋体" w:cs="宋体"/>
          <w:color w:val="auto"/>
          <w:highlight w:val="none"/>
        </w:rPr>
      </w:pPr>
      <w:r>
        <w:rPr>
          <w:rFonts w:hint="eastAsia" w:ascii="黑体" w:hAnsi="黑体" w:eastAsia="黑体" w:cs="宋体"/>
          <w:color w:val="auto"/>
          <w:highlight w:val="none"/>
        </w:rPr>
        <w:t>来自风险投资</w:t>
      </w:r>
      <w:r>
        <w:rPr>
          <w:rFonts w:hint="eastAsia" w:ascii="宋体" w:hAnsi="宋体" w:cs="宋体"/>
          <w:color w:val="auto"/>
          <w:highlight w:val="none"/>
        </w:rPr>
        <w:t>指报告期内企业来源</w:t>
      </w:r>
      <w:r>
        <w:rPr>
          <w:rFonts w:ascii="宋体" w:hAnsi="宋体" w:cs="宋体"/>
          <w:color w:val="auto"/>
          <w:highlight w:val="none"/>
        </w:rPr>
        <w:t>于</w:t>
      </w:r>
      <w:r>
        <w:rPr>
          <w:rFonts w:hint="eastAsia" w:ascii="宋体" w:hAnsi="宋体" w:cs="宋体"/>
          <w:color w:val="auto"/>
          <w:highlight w:val="none"/>
        </w:rPr>
        <w:t>风险投资(</w:t>
      </w:r>
      <w:r>
        <w:rPr>
          <w:rFonts w:ascii="宋体" w:hAnsi="宋体" w:cs="宋体"/>
          <w:color w:val="auto"/>
          <w:highlight w:val="none"/>
        </w:rPr>
        <w:t>VC</w:t>
      </w:r>
      <w:r>
        <w:rPr>
          <w:rFonts w:hint="eastAsia" w:ascii="宋体" w:hAnsi="宋体" w:cs="宋体"/>
          <w:color w:val="auto"/>
          <w:highlight w:val="none"/>
        </w:rPr>
        <w:t>)</w:t>
      </w:r>
      <w:r>
        <w:rPr>
          <w:rFonts w:ascii="宋体" w:hAnsi="宋体" w:cs="宋体"/>
          <w:color w:val="auto"/>
          <w:highlight w:val="none"/>
        </w:rPr>
        <w:t>的研究开发经费合计</w:t>
      </w:r>
      <w:r>
        <w:rPr>
          <w:rFonts w:hint="eastAsia" w:ascii="宋体" w:hAnsi="宋体" w:cs="宋体"/>
          <w:color w:val="auto"/>
          <w:highlight w:val="none"/>
        </w:rPr>
        <w:t>，</w:t>
      </w:r>
      <w:r>
        <w:rPr>
          <w:rFonts w:ascii="宋体" w:hAnsi="宋体" w:cs="宋体"/>
          <w:color w:val="auto"/>
          <w:highlight w:val="none"/>
        </w:rPr>
        <w:t>包括</w:t>
      </w:r>
      <w:r>
        <w:rPr>
          <w:rFonts w:hint="eastAsia" w:ascii="宋体" w:hAnsi="宋体" w:cs="宋体"/>
          <w:color w:val="auto"/>
          <w:highlight w:val="none"/>
        </w:rPr>
        <w:t>用于</w:t>
      </w:r>
      <w:r>
        <w:rPr>
          <w:rFonts w:ascii="宋体" w:hAnsi="宋体" w:cs="宋体"/>
          <w:color w:val="auto"/>
          <w:highlight w:val="none"/>
        </w:rPr>
        <w:t>各项</w:t>
      </w:r>
      <w:r>
        <w:rPr>
          <w:rFonts w:hint="eastAsia" w:ascii="宋体" w:hAnsi="宋体" w:cs="宋体"/>
          <w:color w:val="auto"/>
          <w:highlight w:val="none"/>
        </w:rPr>
        <w:t>研究</w:t>
      </w:r>
      <w:r>
        <w:rPr>
          <w:rFonts w:ascii="宋体" w:hAnsi="宋体" w:cs="宋体"/>
          <w:color w:val="auto"/>
          <w:highlight w:val="none"/>
        </w:rPr>
        <w:t>开发费用</w:t>
      </w:r>
      <w:r>
        <w:rPr>
          <w:rFonts w:hint="eastAsia" w:ascii="宋体" w:hAnsi="宋体" w:cs="宋体"/>
          <w:color w:val="auto"/>
          <w:highlight w:val="none"/>
        </w:rPr>
        <w:t>支出</w:t>
      </w:r>
      <w:r>
        <w:rPr>
          <w:rFonts w:ascii="宋体" w:hAnsi="宋体" w:cs="宋体"/>
          <w:color w:val="auto"/>
          <w:highlight w:val="none"/>
        </w:rPr>
        <w:t>，也包括</w:t>
      </w:r>
      <w:r>
        <w:rPr>
          <w:rFonts w:hint="eastAsia" w:ascii="宋体" w:hAnsi="宋体" w:cs="宋体"/>
          <w:color w:val="auto"/>
          <w:highlight w:val="none"/>
        </w:rPr>
        <w:t>用于</w:t>
      </w:r>
      <w:r>
        <w:rPr>
          <w:rFonts w:ascii="宋体" w:hAnsi="宋体" w:cs="宋体"/>
          <w:color w:val="auto"/>
          <w:highlight w:val="none"/>
        </w:rPr>
        <w:t>研究开发的</w:t>
      </w:r>
      <w:r>
        <w:rPr>
          <w:rFonts w:hint="eastAsia" w:ascii="宋体" w:hAnsi="宋体" w:cs="宋体"/>
          <w:color w:val="auto"/>
          <w:highlight w:val="none"/>
        </w:rPr>
        <w:t>仪器</w:t>
      </w:r>
      <w:r>
        <w:rPr>
          <w:rFonts w:ascii="宋体" w:hAnsi="宋体" w:cs="宋体"/>
          <w:color w:val="auto"/>
          <w:highlight w:val="none"/>
        </w:rPr>
        <w:t>设备等资产投入。</w:t>
      </w:r>
    </w:p>
    <w:p w14:paraId="27D75836">
      <w:pPr>
        <w:pStyle w:val="9"/>
        <w:spacing w:after="0" w:line="400" w:lineRule="exact"/>
        <w:ind w:firstLine="420" w:firstLineChars="200"/>
        <w:rPr>
          <w:rFonts w:ascii="Times New Roman" w:hAnsi="Times New Roman"/>
          <w:color w:val="auto"/>
          <w:highlight w:val="none"/>
        </w:rPr>
      </w:pPr>
      <w:r>
        <w:rPr>
          <w:rFonts w:hint="eastAsia" w:ascii="黑体" w:hAnsi="黑体" w:eastAsia="黑体" w:cs="宋体"/>
          <w:color w:val="auto"/>
          <w:highlight w:val="none"/>
        </w:rPr>
        <w:t>来自其他渠道</w:t>
      </w:r>
      <w:r>
        <w:rPr>
          <w:rFonts w:hint="eastAsia" w:ascii="宋体" w:hAnsi="宋体" w:cs="宋体"/>
          <w:color w:val="auto"/>
          <w:highlight w:val="none"/>
        </w:rPr>
        <w:t>指报告期内企业其他不属于</w:t>
      </w:r>
      <w:r>
        <w:rPr>
          <w:rFonts w:ascii="宋体" w:hAnsi="宋体" w:cs="宋体"/>
          <w:color w:val="auto"/>
          <w:highlight w:val="none"/>
        </w:rPr>
        <w:t>以上</w:t>
      </w:r>
      <w:r>
        <w:rPr>
          <w:rFonts w:hint="eastAsia" w:ascii="宋体" w:hAnsi="宋体" w:cs="宋体"/>
          <w:color w:val="auto"/>
          <w:highlight w:val="none"/>
        </w:rPr>
        <w:t>资金</w:t>
      </w:r>
      <w:r>
        <w:rPr>
          <w:rFonts w:ascii="宋体" w:hAnsi="宋体" w:cs="宋体"/>
          <w:color w:val="auto"/>
          <w:highlight w:val="none"/>
        </w:rPr>
        <w:t>来源的研究开发经费合计</w:t>
      </w:r>
      <w:r>
        <w:rPr>
          <w:rFonts w:hint="eastAsia" w:ascii="宋体" w:hAnsi="宋体" w:cs="宋体"/>
          <w:color w:val="auto"/>
          <w:highlight w:val="none"/>
        </w:rPr>
        <w:t>，比如</w:t>
      </w:r>
      <w:r>
        <w:rPr>
          <w:rFonts w:ascii="宋体" w:hAnsi="宋体" w:cs="宋体"/>
          <w:color w:val="auto"/>
          <w:highlight w:val="none"/>
        </w:rPr>
        <w:t>捐赠、</w:t>
      </w:r>
      <w:r>
        <w:rPr>
          <w:rFonts w:hint="eastAsia" w:ascii="宋体" w:hAnsi="宋体" w:cs="宋体"/>
          <w:color w:val="auto"/>
          <w:highlight w:val="none"/>
        </w:rPr>
        <w:t>受委托</w:t>
      </w:r>
      <w:r>
        <w:rPr>
          <w:rFonts w:ascii="宋体" w:hAnsi="宋体" w:cs="宋体"/>
          <w:color w:val="auto"/>
          <w:highlight w:val="none"/>
        </w:rPr>
        <w:t>等。</w:t>
      </w:r>
    </w:p>
    <w:p w14:paraId="304FC726">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期末机构数</w:t>
      </w:r>
      <w:r>
        <w:rPr>
          <w:rFonts w:hint="eastAsia" w:ascii="Times New Roman" w:hAnsi="Times New Roman"/>
          <w:bCs/>
          <w:color w:val="auto"/>
          <w:szCs w:val="21"/>
          <w:highlight w:val="none"/>
        </w:rPr>
        <w:t>指报告期末企业在境内自办的研究开发机构数量。企业办研究开发机构指企业自办（或与外单位合办），管理上同生产系统相对独立（或单独核算）的专门研究开发机构，如企业办的技术中心、研究院所、开发中心等。企业办研究开发机构经过资源整合，同一机构被国家或省级有关部门认定为不同名称技术创新平台的，应按一个机构填报。与外单位合办的研究开发机构若主要由本企业出资兴办，则由本企业统计，否则应由合办方统计。企业研究开发管理职能处（科）室（如科研处、技术科等）一般不统计在内；若科研处、技术科等同时挂有研究开发机构的牌子，视其报告期内主要工作任务而定，主要任务是从事研究开发活动的可以统计，否则不予统计。本指标不含企业在国外或港澳台设立的研究开发机构数。</w:t>
      </w:r>
    </w:p>
    <w:p w14:paraId="0CEFC9D8">
      <w:pPr>
        <w:spacing w:line="400" w:lineRule="exact"/>
        <w:ind w:firstLine="420" w:firstLineChars="200"/>
        <w:rPr>
          <w:rFonts w:ascii="Times New Roman" w:hAnsi="Times New Roman"/>
          <w:bCs/>
          <w:color w:val="auto"/>
          <w:sz w:val="24"/>
          <w:szCs w:val="24"/>
          <w:highlight w:val="none"/>
        </w:rPr>
      </w:pPr>
      <w:r>
        <w:rPr>
          <w:rFonts w:ascii="Times New Roman" w:hAnsi="Times New Roman" w:eastAsia="黑体"/>
          <w:bCs/>
          <w:color w:val="auto"/>
          <w:szCs w:val="21"/>
          <w:highlight w:val="none"/>
        </w:rPr>
        <w:t>机构研究开发人员合计</w:t>
      </w:r>
      <w:r>
        <w:rPr>
          <w:rFonts w:hint="eastAsia" w:ascii="Times New Roman" w:hAnsi="Times New Roman"/>
          <w:bCs/>
          <w:color w:val="auto"/>
          <w:szCs w:val="21"/>
          <w:highlight w:val="none"/>
        </w:rPr>
        <w:t>指报告期内企业办研究开发机构中研究开发人员合计。</w:t>
      </w:r>
    </w:p>
    <w:p w14:paraId="6BC0D398">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机构人员合计中博士毕业</w:t>
      </w:r>
      <w:r>
        <w:rPr>
          <w:rFonts w:hint="eastAsia" w:ascii="Times New Roman" w:hAnsi="Times New Roman"/>
          <w:bCs/>
          <w:color w:val="auto"/>
          <w:szCs w:val="21"/>
          <w:highlight w:val="none"/>
        </w:rPr>
        <w:t>指报告期内企业办研究开发机构中具有博士学历或博士学位的研究开发人员。</w:t>
      </w:r>
    </w:p>
    <w:p w14:paraId="3A0F734B">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机构人员合计中硕士毕业</w:t>
      </w:r>
      <w:r>
        <w:rPr>
          <w:rFonts w:hint="eastAsia" w:ascii="Times New Roman" w:hAnsi="Times New Roman"/>
          <w:bCs/>
          <w:color w:val="auto"/>
          <w:szCs w:val="21"/>
          <w:highlight w:val="none"/>
        </w:rPr>
        <w:t>指报告期内企业办研究开发机构中具有硕士学历或硕士学位的研究开发人员。</w:t>
      </w:r>
    </w:p>
    <w:p w14:paraId="641C4A0A">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机构研究开发费用</w:t>
      </w:r>
      <w:r>
        <w:rPr>
          <w:rFonts w:hint="eastAsia" w:ascii="Times New Roman" w:hAnsi="Times New Roman"/>
          <w:bCs/>
          <w:color w:val="auto"/>
          <w:szCs w:val="21"/>
          <w:highlight w:val="none"/>
        </w:rPr>
        <w:t>指报告期内企业办研究开发机构中用于研究开发活动的费用合计，包括人员人工费用、直接投入费用、折旧费用与长期待摊费用、无形资产摊销费用、设计费用、装备调试费用与试验费用、委托外部研究开发费用及其他费用。</w:t>
      </w:r>
    </w:p>
    <w:p w14:paraId="2B07744A">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当年专利申请数</w:t>
      </w:r>
      <w:r>
        <w:rPr>
          <w:rFonts w:hint="eastAsia" w:ascii="Times New Roman" w:hAnsi="Times New Roman"/>
          <w:bCs/>
          <w:color w:val="auto"/>
          <w:szCs w:val="21"/>
          <w:highlight w:val="none"/>
        </w:rPr>
        <w:t>指报告期内企业作为第一申请人向境内外知识产权行政部门提出专利申请并被受理后，按规定缴足申请费，符合进入初步审查阶段条件的件数。</w:t>
      </w:r>
    </w:p>
    <w:p w14:paraId="796034FB">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当年申请发明专利</w:t>
      </w:r>
      <w:r>
        <w:rPr>
          <w:rFonts w:hint="eastAsia" w:ascii="Times New Roman" w:hAnsi="Times New Roman"/>
          <w:bCs/>
          <w:color w:val="auto"/>
          <w:szCs w:val="21"/>
          <w:highlight w:val="none"/>
        </w:rPr>
        <w:t>指报告期内企业作为第一申请人向境内外知识产权行政部门提出发明专利申请并被受理后，按规定缴足申请费，符合进入初步审查阶段条件的件数。</w:t>
      </w:r>
    </w:p>
    <w:p w14:paraId="2497AD31">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当年申请国内发明专利</w:t>
      </w:r>
      <w:r>
        <w:rPr>
          <w:rFonts w:ascii="Times New Roman" w:hAnsi="Times New Roman"/>
          <w:bCs/>
          <w:color w:val="auto"/>
          <w:szCs w:val="21"/>
          <w:highlight w:val="none"/>
        </w:rPr>
        <w:t>指报告期内企业作为第一申请人向我国专利机构提出发明专利申请的件数。</w:t>
      </w:r>
    </w:p>
    <w:p w14:paraId="41EC0923">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当年申请欧美日专利</w:t>
      </w:r>
      <w:r>
        <w:rPr>
          <w:rFonts w:ascii="Times New Roman" w:hAnsi="Times New Roman"/>
          <w:bCs/>
          <w:color w:val="auto"/>
          <w:szCs w:val="21"/>
          <w:highlight w:val="none"/>
        </w:rPr>
        <w:t>指报告期内企业作为第一申请人向欧洲知识产权局、美国商标与专利管理局和日本特许厅提出专利申请的件数。同一专利需向三方均提出申请并被受理，才有效，按1件计。</w:t>
      </w:r>
    </w:p>
    <w:p w14:paraId="34AC14B2">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当年申请PCT国际专利数</w:t>
      </w:r>
      <w:r>
        <w:rPr>
          <w:rFonts w:ascii="Times New Roman" w:hAnsi="Times New Roman"/>
          <w:bCs/>
          <w:color w:val="auto"/>
          <w:szCs w:val="21"/>
          <w:highlight w:val="none"/>
        </w:rPr>
        <w:t>指报告期内企业作为第一申请人提出的PCT国际专利申请数量。PCT是《专利合作条约》（Patent Cooperation Treaty）的英文缩写，是有关专利的国际条约。根据PCT的规定，专利申请人可以通过PCT途径递交国际专利申请，向多个国家申请专利。PCT专利申请分为国际阶段和国家阶段，其中，国际阶段由国际受理、国际检索，国际公布、初步审查等步骤，经过国际检索、国际公开以及国际初步审查（如果要求了的话）这一国际阶段之后，专利申请人办理进入国家阶段的手续。</w:t>
      </w:r>
    </w:p>
    <w:p w14:paraId="27651FC4">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bCs/>
          <w:color w:val="auto"/>
          <w:szCs w:val="21"/>
          <w:highlight w:val="none"/>
        </w:rPr>
        <w:t>中国知识产权局专利局是中国国民或居民的主管受理局，同时也是国际检索单位和国际初步审查单位。中国申请人提出国际专利申请，应当经中华人民共和国国务院有关主管部门同意，并且应当委托涉外专利代理机构办理。中国申请人可以向中国专利局也可以向世界知识产权组织的国际局提交国际专利申请。</w:t>
      </w:r>
    </w:p>
    <w:p w14:paraId="0E444346">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bCs/>
          <w:color w:val="auto"/>
          <w:szCs w:val="21"/>
          <w:highlight w:val="none"/>
        </w:rPr>
        <w:t>应当注意的是，专利申请人只能通过PCT申请专利，不能直接通过PCT得到专利。要想获得某个国家的专利，专利申请人还必须履行进入该国家的手续，由该国的专利局对该专利申请进行审查，符合该国专利法规定的，授予专利权。</w:t>
      </w:r>
    </w:p>
    <w:p w14:paraId="4CE40371">
      <w:pPr>
        <w:widowControl/>
        <w:spacing w:line="400" w:lineRule="exact"/>
        <w:ind w:firstLine="420" w:firstLineChars="200"/>
        <w:jc w:val="left"/>
        <w:rPr>
          <w:rFonts w:ascii="宋体" w:hAnsi="宋体"/>
          <w:bCs/>
          <w:color w:val="auto"/>
          <w:szCs w:val="21"/>
          <w:highlight w:val="none"/>
        </w:rPr>
      </w:pPr>
      <w:r>
        <w:rPr>
          <w:rFonts w:ascii="Times New Roman" w:hAnsi="Times New Roman" w:eastAsia="黑体"/>
          <w:bCs/>
          <w:color w:val="auto"/>
          <w:szCs w:val="21"/>
          <w:highlight w:val="none"/>
        </w:rPr>
        <w:t>当年授权专利</w:t>
      </w:r>
      <w:r>
        <w:rPr>
          <w:rFonts w:hint="eastAsia" w:ascii="宋体" w:hAnsi="宋体"/>
          <w:bCs/>
          <w:color w:val="auto"/>
          <w:szCs w:val="21"/>
          <w:highlight w:val="none"/>
        </w:rPr>
        <w:t>指报告期当年企业作为第一专利权人获得的经国内外知识产权行政部门授权的专利件数。</w:t>
      </w:r>
    </w:p>
    <w:p w14:paraId="7EFCAA94">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当年授权发明专利</w:t>
      </w:r>
      <w:r>
        <w:rPr>
          <w:rFonts w:hint="eastAsia" w:ascii="宋体" w:hAnsi="宋体"/>
          <w:bCs/>
          <w:color w:val="auto"/>
          <w:szCs w:val="21"/>
          <w:highlight w:val="none"/>
        </w:rPr>
        <w:t>指报告期当年企业作为第一专利权人获得的经国内外专利行政部门授权的发明专利件数。</w:t>
      </w:r>
    </w:p>
    <w:p w14:paraId="4491F2D6">
      <w:pPr>
        <w:widowControl/>
        <w:spacing w:line="400" w:lineRule="exact"/>
        <w:ind w:firstLine="420" w:firstLineChars="200"/>
        <w:jc w:val="left"/>
        <w:rPr>
          <w:rFonts w:ascii="宋体" w:hAnsi="宋体"/>
          <w:bCs/>
          <w:color w:val="auto"/>
          <w:szCs w:val="21"/>
          <w:highlight w:val="none"/>
        </w:rPr>
      </w:pPr>
      <w:r>
        <w:rPr>
          <w:rFonts w:ascii="Times New Roman" w:hAnsi="Times New Roman" w:eastAsia="黑体"/>
          <w:bCs/>
          <w:color w:val="auto"/>
          <w:szCs w:val="21"/>
          <w:highlight w:val="none"/>
        </w:rPr>
        <w:t>当年授权国内发明专利</w:t>
      </w:r>
      <w:r>
        <w:rPr>
          <w:rFonts w:hint="eastAsia" w:ascii="宋体" w:hAnsi="宋体"/>
          <w:bCs/>
          <w:color w:val="auto"/>
          <w:szCs w:val="21"/>
          <w:highlight w:val="none"/>
        </w:rPr>
        <w:t>指报告期当年企业作为第一专利权人获得我国专利机构授权的发明专利件数。</w:t>
      </w:r>
    </w:p>
    <w:p w14:paraId="523F76A4">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当年授权欧美日专利</w:t>
      </w:r>
      <w:r>
        <w:rPr>
          <w:rFonts w:hint="eastAsia" w:ascii="宋体" w:hAnsi="宋体" w:eastAsia="宋体"/>
          <w:bCs/>
          <w:color w:val="auto"/>
          <w:szCs w:val="21"/>
          <w:highlight w:val="none"/>
        </w:rPr>
        <w:t>指</w:t>
      </w:r>
      <w:r>
        <w:rPr>
          <w:rFonts w:hint="eastAsia" w:ascii="宋体" w:hAnsi="宋体"/>
          <w:bCs/>
          <w:color w:val="auto"/>
          <w:szCs w:val="21"/>
          <w:highlight w:val="none"/>
        </w:rPr>
        <w:t>报告期当年企业作为第一专利权人针对同一项专利申请，分别获得欧洲知识产权局、美国商标与专利管理局和日本特许厅批准授权的专利件数。同一专利获得三方授权按</w:t>
      </w:r>
      <w:r>
        <w:rPr>
          <w:rFonts w:ascii="宋体" w:hAnsi="宋体"/>
          <w:bCs/>
          <w:color w:val="auto"/>
          <w:szCs w:val="21"/>
          <w:highlight w:val="none"/>
        </w:rPr>
        <w:t>1件计。</w:t>
      </w:r>
    </w:p>
    <w:p w14:paraId="56F1471E">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期末拥有有效专利</w:t>
      </w:r>
      <w:r>
        <w:rPr>
          <w:rFonts w:ascii="Times New Roman" w:hAnsi="Times New Roman"/>
          <w:bCs/>
          <w:color w:val="auto"/>
          <w:szCs w:val="21"/>
          <w:highlight w:val="none"/>
        </w:rPr>
        <w:t>指报告期末企业作为第一专利权人拥有的、经境内外知识产权行政部门授权且在有效期内的专利件数。</w:t>
      </w:r>
    </w:p>
    <w:p w14:paraId="0F12244F">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拥有境外授权的有效专利</w:t>
      </w:r>
      <w:r>
        <w:rPr>
          <w:rFonts w:ascii="Times New Roman" w:hAnsi="Times New Roman"/>
          <w:bCs/>
          <w:color w:val="auto"/>
          <w:szCs w:val="21"/>
          <w:highlight w:val="none"/>
        </w:rPr>
        <w:t>指报告期末企业作为第一专利权人拥有的、经国外及港澳台知识产权行政部门授予且在有效期内的专利件数。</w:t>
      </w:r>
    </w:p>
    <w:p w14:paraId="799F5F69">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拥有欧美日专利</w:t>
      </w:r>
      <w:r>
        <w:rPr>
          <w:rFonts w:ascii="Times New Roman" w:hAnsi="Times New Roman"/>
          <w:bCs/>
          <w:color w:val="auto"/>
          <w:szCs w:val="21"/>
          <w:highlight w:val="none"/>
        </w:rPr>
        <w:t>指报告期末企业作为第一专利权人拥有的、针对同一项专利，分别获得欧洲、美国、日本知识产权行政部门授权且在有效期内的专利件数。同一专利获得三方授权按1件计。</w:t>
      </w:r>
    </w:p>
    <w:p w14:paraId="436613E7">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拥有有效发明专利</w:t>
      </w:r>
      <w:r>
        <w:rPr>
          <w:rFonts w:ascii="Times New Roman" w:hAnsi="Times New Roman"/>
          <w:bCs/>
          <w:color w:val="auto"/>
          <w:szCs w:val="21"/>
          <w:highlight w:val="none"/>
        </w:rPr>
        <w:t>指报告期末企业作为第一专利权人拥有的、经境内外知识产权行政部门授权且在有效期内的发明专利件数。</w:t>
      </w:r>
    </w:p>
    <w:p w14:paraId="3CF6C7A8">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拥有境外授权的有效发明专利</w:t>
      </w:r>
      <w:r>
        <w:rPr>
          <w:rFonts w:ascii="Times New Roman" w:hAnsi="Times New Roman"/>
          <w:bCs/>
          <w:color w:val="auto"/>
          <w:szCs w:val="21"/>
          <w:highlight w:val="none"/>
        </w:rPr>
        <w:t>指报告期末企业作为第一专利权人拥有的、经国外或港澳台知识产权行政部门授予且在有效期内的发明专利件数。</w:t>
      </w:r>
    </w:p>
    <w:p w14:paraId="0667700D">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专利所有权转让及许可</w:t>
      </w:r>
      <w:r>
        <w:rPr>
          <w:rFonts w:ascii="Times New Roman" w:hAnsi="Times New Roman"/>
          <w:bCs/>
          <w:color w:val="auto"/>
          <w:szCs w:val="21"/>
          <w:highlight w:val="none"/>
        </w:rPr>
        <w:t>指报告期内企业向外单位转让专利所有权或允许专利技术由被许可单位使用的专利件数。</w:t>
      </w:r>
    </w:p>
    <w:p w14:paraId="502859B0">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专利所有权转让及许可收入</w:t>
      </w:r>
      <w:r>
        <w:rPr>
          <w:rFonts w:ascii="Times New Roman" w:hAnsi="Times New Roman"/>
          <w:bCs/>
          <w:color w:val="auto"/>
          <w:szCs w:val="21"/>
          <w:highlight w:val="none"/>
        </w:rPr>
        <w:t>指报告期内企业向外单位转让专利所有权或允许专利技术由被许可单位使用而得到的收入，包括当年从被转让方或被许可方得到的一次性付款和分期付款收入，以及利润分成、股息收入等。</w:t>
      </w:r>
    </w:p>
    <w:p w14:paraId="440292A5">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新产品产值</w:t>
      </w:r>
      <w:r>
        <w:rPr>
          <w:rFonts w:ascii="Times New Roman" w:hAnsi="Times New Roman"/>
          <w:bCs/>
          <w:color w:val="auto"/>
          <w:szCs w:val="21"/>
          <w:highlight w:val="none"/>
        </w:rPr>
        <w:t>指报告期内企业生产的新产品的产值。新产品是指采用新技术原理、新设计构思研制、生产的全新产品，或在结构、材质、工艺等某一方面比原有产品有明显改进，从而显著提高了产品性能或扩大了使用功能的产品。新产品既包括经政府有关部门认定并在有效期内的新产品，也包括企业自行研制开发，未经政府有关部门认定，从投产之日起</w:t>
      </w:r>
      <w:r>
        <w:rPr>
          <w:rFonts w:hint="eastAsia" w:ascii="Times New Roman" w:hAnsi="Times New Roman"/>
          <w:bCs/>
          <w:color w:val="auto"/>
          <w:szCs w:val="21"/>
          <w:highlight w:val="none"/>
          <w:lang w:eastAsia="zh-CN"/>
        </w:rPr>
        <w:t>两</w:t>
      </w:r>
      <w:r>
        <w:rPr>
          <w:rFonts w:ascii="Times New Roman" w:hAnsi="Times New Roman"/>
          <w:bCs/>
          <w:color w:val="auto"/>
          <w:szCs w:val="21"/>
          <w:highlight w:val="none"/>
        </w:rPr>
        <w:t>年之内的新产品。</w:t>
      </w:r>
    </w:p>
    <w:p w14:paraId="49266B66">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新产品销售收入</w:t>
      </w:r>
      <w:r>
        <w:rPr>
          <w:rFonts w:hint="eastAsia" w:ascii="Times New Roman" w:hAnsi="Times New Roman"/>
          <w:bCs/>
          <w:color w:val="auto"/>
          <w:szCs w:val="21"/>
          <w:highlight w:val="none"/>
        </w:rPr>
        <w:t>指报告期内企业销售新产品实现的销售收入。</w:t>
      </w:r>
    </w:p>
    <w:p w14:paraId="4AC35396">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新产品销售收入中出口</w:t>
      </w:r>
      <w:r>
        <w:rPr>
          <w:rFonts w:hint="eastAsia" w:ascii="Times New Roman" w:hAnsi="Times New Roman"/>
          <w:bCs/>
          <w:color w:val="auto"/>
          <w:szCs w:val="21"/>
          <w:highlight w:val="none"/>
        </w:rPr>
        <w:t>指报告期内企业将新产品销售给外贸部门和直接出售给外商所实现的销售收入。</w:t>
      </w:r>
    </w:p>
    <w:p w14:paraId="60FA16EF">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发表科技论文</w:t>
      </w:r>
      <w:r>
        <w:rPr>
          <w:rFonts w:hint="eastAsia" w:ascii="Times New Roman" w:hAnsi="Times New Roman"/>
          <w:bCs/>
          <w:color w:val="auto"/>
          <w:szCs w:val="21"/>
          <w:highlight w:val="none"/>
        </w:rPr>
        <w:t>指报告期内企业立项的研究开发项目产生的、并在有正规刊号的刊物上发表的科技论文数量。</w:t>
      </w:r>
    </w:p>
    <w:p w14:paraId="7FBDF151">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期末拥有注册商标</w:t>
      </w:r>
      <w:r>
        <w:rPr>
          <w:rFonts w:ascii="Times New Roman" w:hAnsi="Times New Roman"/>
          <w:bCs/>
          <w:color w:val="auto"/>
          <w:szCs w:val="21"/>
          <w:highlight w:val="none"/>
        </w:rPr>
        <w:t>指报告期末企业作为第一商标注册人拥有的，经境内外商标行政部门核准注册且在有效期内的商标件数。包括在境内和境外注册的商标件数，同一件商标在境内外同时注册时按一件计。</w:t>
      </w:r>
    </w:p>
    <w:p w14:paraId="49BEB0EF">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当年注册商标</w:t>
      </w:r>
      <w:r>
        <w:rPr>
          <w:rFonts w:hint="eastAsia" w:ascii="宋体" w:hAnsi="宋体"/>
          <w:bCs/>
          <w:color w:val="auto"/>
          <w:szCs w:val="21"/>
          <w:highlight w:val="none"/>
        </w:rPr>
        <w:t>指报告期当年企业作为第一商标注册人获得境内外商标行政部门核准注册的商标件数。同一商标在不同地区同时注册按一件计。</w:t>
      </w:r>
    </w:p>
    <w:p w14:paraId="505E5644">
      <w:pPr>
        <w:widowControl/>
        <w:spacing w:line="400" w:lineRule="exact"/>
        <w:ind w:firstLine="415" w:firstLineChars="198"/>
        <w:jc w:val="left"/>
        <w:rPr>
          <w:rFonts w:ascii="Times New Roman" w:hAnsi="Times New Roman"/>
          <w:bCs/>
          <w:color w:val="auto"/>
          <w:szCs w:val="21"/>
          <w:highlight w:val="none"/>
        </w:rPr>
      </w:pPr>
      <w:r>
        <w:rPr>
          <w:rFonts w:ascii="Times New Roman" w:hAnsi="Times New Roman" w:eastAsia="黑体"/>
          <w:bCs/>
          <w:color w:val="auto"/>
          <w:szCs w:val="21"/>
          <w:highlight w:val="none"/>
        </w:rPr>
        <w:t>境外注册商标</w:t>
      </w:r>
      <w:r>
        <w:rPr>
          <w:rFonts w:hint="eastAsia" w:ascii="宋体" w:hAnsi="宋体"/>
          <w:bCs/>
          <w:color w:val="auto"/>
          <w:szCs w:val="21"/>
          <w:highlight w:val="none"/>
        </w:rPr>
        <w:t>指报告期末企业作为第一商标注册人拥有的，经国外或港澳台商标行政部门核准注册且在有效期内的商标件数。</w:t>
      </w:r>
    </w:p>
    <w:p w14:paraId="139E2B5D">
      <w:pPr>
        <w:widowControl/>
        <w:spacing w:line="400" w:lineRule="exact"/>
        <w:ind w:firstLine="415" w:firstLineChars="198"/>
        <w:jc w:val="left"/>
        <w:rPr>
          <w:rFonts w:ascii="Times New Roman" w:hAnsi="Times New Roman"/>
          <w:bCs/>
          <w:color w:val="auto"/>
          <w:szCs w:val="21"/>
          <w:highlight w:val="none"/>
        </w:rPr>
      </w:pPr>
      <w:r>
        <w:rPr>
          <w:rFonts w:ascii="Times New Roman" w:hAnsi="Times New Roman" w:eastAsia="黑体"/>
          <w:bCs/>
          <w:color w:val="auto"/>
          <w:szCs w:val="21"/>
          <w:highlight w:val="none"/>
        </w:rPr>
        <w:t>当年境外注册商标</w:t>
      </w:r>
      <w:r>
        <w:rPr>
          <w:rFonts w:ascii="Times New Roman" w:hAnsi="Times New Roman"/>
          <w:bCs/>
          <w:color w:val="auto"/>
          <w:szCs w:val="21"/>
          <w:highlight w:val="none"/>
        </w:rPr>
        <w:t>指报告期当年企业作为第一商标注册人拥有的，经国外或港澳台商标行政部门核准注册且在有效期内的商标件数。</w:t>
      </w:r>
    </w:p>
    <w:p w14:paraId="578CF10B">
      <w:pPr>
        <w:widowControl/>
        <w:spacing w:line="400" w:lineRule="exact"/>
        <w:ind w:firstLine="415" w:firstLineChars="198"/>
        <w:jc w:val="left"/>
        <w:rPr>
          <w:rFonts w:ascii="Times New Roman" w:hAnsi="Times New Roman"/>
          <w:bCs/>
          <w:color w:val="auto"/>
          <w:spacing w:val="-4"/>
          <w:szCs w:val="21"/>
          <w:highlight w:val="none"/>
        </w:rPr>
      </w:pPr>
      <w:r>
        <w:rPr>
          <w:rFonts w:ascii="Times New Roman" w:hAnsi="Times New Roman" w:eastAsia="黑体"/>
          <w:bCs/>
          <w:color w:val="auto"/>
          <w:szCs w:val="21"/>
          <w:highlight w:val="none"/>
        </w:rPr>
        <w:t>拥有软件著作权</w:t>
      </w:r>
      <w:r>
        <w:rPr>
          <w:rFonts w:hint="eastAsia" w:ascii="宋体" w:hAnsi="宋体"/>
          <w:bCs/>
          <w:color w:val="auto"/>
          <w:szCs w:val="21"/>
          <w:highlight w:val="none"/>
        </w:rPr>
        <w:t>指在报告期末企业作为第一权利人拥有的，经国务院知识产权行政部门按照《中华人民共和国计算机软件保护条例》对计算机程序和文档授予的且在有效期内的著作权数量。</w:t>
      </w:r>
    </w:p>
    <w:p w14:paraId="45E904D4">
      <w:pPr>
        <w:widowControl/>
        <w:spacing w:line="400" w:lineRule="exact"/>
        <w:ind w:firstLine="415" w:firstLineChars="198"/>
        <w:jc w:val="left"/>
        <w:rPr>
          <w:rFonts w:ascii="Times New Roman" w:hAnsi="Times New Roman"/>
          <w:bCs/>
          <w:color w:val="auto"/>
          <w:spacing w:val="-4"/>
          <w:szCs w:val="21"/>
          <w:highlight w:val="none"/>
        </w:rPr>
      </w:pPr>
      <w:r>
        <w:rPr>
          <w:rFonts w:ascii="Times New Roman" w:hAnsi="Times New Roman" w:eastAsia="黑体"/>
          <w:bCs/>
          <w:color w:val="auto"/>
          <w:szCs w:val="21"/>
          <w:highlight w:val="none"/>
        </w:rPr>
        <w:t>当年获得软件著作权</w:t>
      </w:r>
      <w:r>
        <w:rPr>
          <w:rFonts w:hint="eastAsia" w:ascii="宋体" w:hAnsi="宋体"/>
          <w:bCs/>
          <w:color w:val="auto"/>
          <w:szCs w:val="21"/>
          <w:highlight w:val="none"/>
        </w:rPr>
        <w:t>指</w:t>
      </w:r>
      <w:r>
        <w:rPr>
          <w:rFonts w:ascii="宋体" w:hAnsi="宋体"/>
          <w:bCs/>
          <w:color w:val="auto"/>
          <w:szCs w:val="21"/>
          <w:highlight w:val="none"/>
        </w:rPr>
        <w:t>报告期</w:t>
      </w:r>
      <w:r>
        <w:rPr>
          <w:rFonts w:hint="eastAsia" w:ascii="宋体" w:hAnsi="宋体"/>
          <w:bCs/>
          <w:color w:val="auto"/>
          <w:szCs w:val="21"/>
          <w:highlight w:val="none"/>
        </w:rPr>
        <w:t>当年</w:t>
      </w:r>
      <w:r>
        <w:rPr>
          <w:rFonts w:ascii="宋体" w:hAnsi="宋体"/>
          <w:bCs/>
          <w:color w:val="auto"/>
          <w:szCs w:val="21"/>
          <w:highlight w:val="none"/>
        </w:rPr>
        <w:t>新获得的软件著作权数量。</w:t>
      </w:r>
    </w:p>
    <w:p w14:paraId="1B22BCED">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拥有集成电路布图设计</w:t>
      </w:r>
      <w:r>
        <w:rPr>
          <w:rFonts w:ascii="Times New Roman" w:hAnsi="Times New Roman"/>
          <w:bCs/>
          <w:color w:val="auto"/>
          <w:szCs w:val="21"/>
          <w:highlight w:val="none"/>
        </w:rPr>
        <w:t>指</w:t>
      </w:r>
      <w:r>
        <w:rPr>
          <w:rFonts w:ascii="Times New Roman" w:hAnsi="Times New Roman"/>
          <w:bCs/>
          <w:color w:val="auto"/>
          <w:spacing w:val="-4"/>
          <w:szCs w:val="21"/>
          <w:highlight w:val="none"/>
        </w:rPr>
        <w:t>在报告期末企业</w:t>
      </w:r>
      <w:r>
        <w:rPr>
          <w:rFonts w:ascii="Times New Roman" w:hAnsi="Times New Roman"/>
          <w:bCs/>
          <w:color w:val="auto"/>
          <w:szCs w:val="21"/>
          <w:highlight w:val="none"/>
        </w:rPr>
        <w:t>作为第一权利人</w:t>
      </w:r>
      <w:r>
        <w:rPr>
          <w:rFonts w:ascii="Times New Roman" w:hAnsi="Times New Roman"/>
          <w:bCs/>
          <w:color w:val="auto"/>
          <w:spacing w:val="-4"/>
          <w:szCs w:val="21"/>
          <w:highlight w:val="none"/>
        </w:rPr>
        <w:t>拥有的，且在有效期内的，</w:t>
      </w:r>
      <w:r>
        <w:rPr>
          <w:rFonts w:ascii="Times New Roman" w:hAnsi="Times New Roman"/>
          <w:bCs/>
          <w:color w:val="auto"/>
          <w:szCs w:val="21"/>
          <w:highlight w:val="none"/>
        </w:rPr>
        <w:t>由国务院知识产权行政部门按照《中华人民共和国集成电路布图设计保护条例》授予的对集成电路中至少有一个是有源元件的两个以上元件和部分或者全部互连线路的三维配置，或者为制造集成电路而准备的上述三维配置的布图专有权数量。</w:t>
      </w:r>
    </w:p>
    <w:p w14:paraId="70189CA4">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当年获得集成电路布图设计权数量</w:t>
      </w:r>
      <w:r>
        <w:rPr>
          <w:rFonts w:hint="eastAsia" w:ascii="宋体" w:hAnsi="宋体" w:eastAsia="宋体"/>
          <w:bCs/>
          <w:color w:val="auto"/>
          <w:szCs w:val="21"/>
          <w:highlight w:val="none"/>
        </w:rPr>
        <w:t>指</w:t>
      </w:r>
      <w:r>
        <w:rPr>
          <w:rFonts w:hint="eastAsia" w:ascii="宋体" w:hAnsi="宋体"/>
          <w:bCs/>
          <w:color w:val="auto"/>
          <w:szCs w:val="21"/>
          <w:highlight w:val="none"/>
        </w:rPr>
        <w:t>报告期当年新获得的集成电路布图设计权数量。</w:t>
      </w:r>
    </w:p>
    <w:p w14:paraId="120A17EC">
      <w:pPr>
        <w:widowControl/>
        <w:spacing w:line="400" w:lineRule="exact"/>
        <w:ind w:firstLine="420" w:firstLineChars="200"/>
        <w:jc w:val="left"/>
        <w:rPr>
          <w:rFonts w:ascii="宋体" w:hAnsi="宋体"/>
          <w:bCs/>
          <w:color w:val="auto"/>
          <w:szCs w:val="21"/>
          <w:highlight w:val="none"/>
        </w:rPr>
      </w:pPr>
      <w:r>
        <w:rPr>
          <w:rFonts w:ascii="Times New Roman" w:hAnsi="Times New Roman" w:eastAsia="黑体"/>
          <w:bCs/>
          <w:color w:val="auto"/>
          <w:szCs w:val="21"/>
          <w:highlight w:val="none"/>
        </w:rPr>
        <w:t>拥有植物新品种</w:t>
      </w:r>
      <w:r>
        <w:rPr>
          <w:rFonts w:hint="eastAsia" w:ascii="宋体" w:hAnsi="宋体"/>
          <w:bCs/>
          <w:color w:val="auto"/>
          <w:szCs w:val="21"/>
          <w:highlight w:val="none"/>
        </w:rPr>
        <w:t>指在报告期末企业作为第一权利人拥有的，且在有效期内的，由国务院农业或林业行政部门按照《中华人民共和国植物新品种保护条例》授予的经过人工培育的或者对发现的野生植物加以开发，具备新颖性、特异性、一致性和稳定性并有适当命名的植物新品种权。</w:t>
      </w:r>
    </w:p>
    <w:p w14:paraId="5E3F414E">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拥有国家一类新药证书数量</w:t>
      </w:r>
      <w:r>
        <w:rPr>
          <w:rFonts w:hint="eastAsia" w:ascii="宋体" w:hAnsi="宋体"/>
          <w:bCs/>
          <w:color w:val="auto"/>
          <w:szCs w:val="21"/>
          <w:highlight w:val="none"/>
        </w:rPr>
        <w:t>指在报告期末企业作为权利人拥有的，且在有效期内的国家一类新药品种证书的国家一类新药数量。</w:t>
      </w:r>
    </w:p>
    <w:p w14:paraId="582F6D61">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国家一类新药</w:t>
      </w:r>
      <w:r>
        <w:rPr>
          <w:rFonts w:ascii="Times New Roman" w:hAnsi="Times New Roman"/>
          <w:bCs/>
          <w:color w:val="auto"/>
          <w:szCs w:val="21"/>
          <w:highlight w:val="none"/>
        </w:rPr>
        <w:t>指按照2007年颁布的《药品注册管理办法》（国家食品药品监督管理局28号令）或国家食品药品监督管理局出台的其它最新政策文件中规定的一类新药。</w:t>
      </w:r>
    </w:p>
    <w:p w14:paraId="2A428EF6">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当年获得国家一类新药证书</w:t>
      </w:r>
      <w:r>
        <w:rPr>
          <w:rFonts w:ascii="Times New Roman" w:hAnsi="Times New Roman"/>
          <w:bCs/>
          <w:color w:val="auto"/>
          <w:szCs w:val="21"/>
          <w:highlight w:val="none"/>
        </w:rPr>
        <w:t>填报告期当年企业新获得的国家一类新药证书数量。</w:t>
      </w:r>
    </w:p>
    <w:p w14:paraId="71A2894F">
      <w:pPr>
        <w:widowControl/>
        <w:spacing w:line="400" w:lineRule="exact"/>
        <w:ind w:firstLine="420" w:firstLineChars="200"/>
        <w:jc w:val="left"/>
        <w:rPr>
          <w:rFonts w:ascii="Times New Roman" w:hAnsi="Times New Roman"/>
          <w:bCs/>
          <w:color w:val="auto"/>
          <w:szCs w:val="24"/>
          <w:highlight w:val="none"/>
        </w:rPr>
      </w:pPr>
      <w:r>
        <w:rPr>
          <w:rFonts w:ascii="Times New Roman" w:hAnsi="Times New Roman" w:eastAsia="黑体"/>
          <w:bCs/>
          <w:color w:val="auto"/>
          <w:szCs w:val="21"/>
          <w:highlight w:val="none"/>
        </w:rPr>
        <w:t>拥有国家一级中药保护品种</w:t>
      </w:r>
      <w:r>
        <w:rPr>
          <w:rFonts w:ascii="Times New Roman" w:hAnsi="Times New Roman"/>
          <w:bCs/>
          <w:color w:val="auto"/>
          <w:szCs w:val="21"/>
          <w:highlight w:val="none"/>
        </w:rPr>
        <w:t>指在报告期末企业作为权利人拥有的国家一级《中药保护品种证书》的一级中药数量。中药保护品种是按照《中药品种保护条例》中有关规定，经申请评审后，获得国务院卫生行政部门批准保护的中药品种。受保护的一级中药品种包括对特定疾病有特殊疗效的；相当于国家一级保护野生药材物种的人工制成品；用于预防和治疗特殊疾病的中药品种。</w:t>
      </w:r>
    </w:p>
    <w:p w14:paraId="2BD82FB2">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当年获得国家一级中药保护品种证书</w:t>
      </w:r>
      <w:r>
        <w:rPr>
          <w:rFonts w:hint="eastAsia" w:ascii="宋体" w:hAnsi="宋体" w:eastAsia="宋体"/>
          <w:bCs/>
          <w:color w:val="auto"/>
          <w:szCs w:val="21"/>
          <w:highlight w:val="none"/>
        </w:rPr>
        <w:t>指</w:t>
      </w:r>
      <w:r>
        <w:rPr>
          <w:rFonts w:hint="eastAsia" w:ascii="宋体" w:hAnsi="宋体"/>
          <w:bCs/>
          <w:color w:val="auto"/>
          <w:szCs w:val="21"/>
          <w:highlight w:val="none"/>
        </w:rPr>
        <w:t>报告期当年企业新获得的国家一类新药证书数量。</w:t>
      </w:r>
    </w:p>
    <w:p w14:paraId="537DE181">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累计形成国际标准</w:t>
      </w:r>
      <w:r>
        <w:rPr>
          <w:rFonts w:hint="eastAsia" w:ascii="宋体" w:hAnsi="宋体"/>
          <w:bCs/>
          <w:color w:val="auto"/>
          <w:szCs w:val="21"/>
          <w:highlight w:val="none"/>
        </w:rPr>
        <w:t>指截至报告期末企业主导制定形成的</w:t>
      </w:r>
      <w:r>
        <w:rPr>
          <w:rFonts w:ascii="Times New Roman" w:hAnsi="Times New Roman"/>
          <w:bCs/>
          <w:color w:val="auto"/>
          <w:szCs w:val="21"/>
          <w:highlight w:val="none"/>
        </w:rPr>
        <w:t>国际标准数。国际标准是指</w:t>
      </w:r>
      <w:r>
        <w:rPr>
          <w:color w:val="auto"/>
          <w:highlight w:val="none"/>
        </w:rPr>
        <w:fldChar w:fldCharType="begin"/>
      </w:r>
      <w:r>
        <w:rPr>
          <w:color w:val="auto"/>
          <w:highlight w:val="none"/>
        </w:rPr>
        <w:instrText xml:space="preserve"> HYPERLINK "http://baike.baidu.com/view/42488.htm" \t "_blank" </w:instrText>
      </w:r>
      <w:r>
        <w:rPr>
          <w:color w:val="auto"/>
          <w:highlight w:val="none"/>
        </w:rPr>
        <w:fldChar w:fldCharType="separate"/>
      </w:r>
      <w:r>
        <w:rPr>
          <w:rFonts w:ascii="Times New Roman" w:hAnsi="Times New Roman"/>
          <w:bCs/>
          <w:color w:val="auto"/>
          <w:szCs w:val="21"/>
          <w:highlight w:val="none"/>
        </w:rPr>
        <w:t>国际标准化组织</w:t>
      </w:r>
      <w:r>
        <w:rPr>
          <w:rFonts w:ascii="Times New Roman" w:hAnsi="Times New Roman"/>
          <w:bCs/>
          <w:color w:val="auto"/>
          <w:szCs w:val="21"/>
          <w:highlight w:val="none"/>
        </w:rPr>
        <w:fldChar w:fldCharType="end"/>
      </w:r>
      <w:r>
        <w:rPr>
          <w:rFonts w:ascii="Times New Roman" w:hAnsi="Times New Roman"/>
          <w:bCs/>
          <w:color w:val="auto"/>
          <w:szCs w:val="21"/>
          <w:highlight w:val="none"/>
        </w:rPr>
        <w:t>（ISO）、</w:t>
      </w:r>
      <w:r>
        <w:rPr>
          <w:color w:val="auto"/>
          <w:highlight w:val="none"/>
        </w:rPr>
        <w:fldChar w:fldCharType="begin"/>
      </w:r>
      <w:r>
        <w:rPr>
          <w:color w:val="auto"/>
          <w:highlight w:val="none"/>
        </w:rPr>
        <w:instrText xml:space="preserve"> HYPERLINK "http://baike.baidu.com/view/159311.htm" \t "_blank" </w:instrText>
      </w:r>
      <w:r>
        <w:rPr>
          <w:color w:val="auto"/>
          <w:highlight w:val="none"/>
        </w:rPr>
        <w:fldChar w:fldCharType="separate"/>
      </w:r>
      <w:r>
        <w:rPr>
          <w:rFonts w:ascii="Times New Roman" w:hAnsi="Times New Roman"/>
          <w:bCs/>
          <w:color w:val="auto"/>
          <w:szCs w:val="21"/>
          <w:highlight w:val="none"/>
        </w:rPr>
        <w:t>国际电工委员会</w:t>
      </w:r>
      <w:r>
        <w:rPr>
          <w:rFonts w:ascii="Times New Roman" w:hAnsi="Times New Roman"/>
          <w:bCs/>
          <w:color w:val="auto"/>
          <w:szCs w:val="21"/>
          <w:highlight w:val="none"/>
        </w:rPr>
        <w:fldChar w:fldCharType="end"/>
      </w:r>
      <w:r>
        <w:rPr>
          <w:rFonts w:ascii="Times New Roman" w:hAnsi="Times New Roman"/>
          <w:bCs/>
          <w:color w:val="auto"/>
          <w:szCs w:val="21"/>
          <w:highlight w:val="none"/>
        </w:rPr>
        <w:t>（IEC）和国际电信联盟（ITU）制</w:t>
      </w:r>
      <w:r>
        <w:rPr>
          <w:rFonts w:ascii="宋体" w:hAnsi="宋体"/>
          <w:bCs/>
          <w:color w:val="auto"/>
          <w:szCs w:val="21"/>
          <w:highlight w:val="none"/>
        </w:rPr>
        <w:t>定的标准，以及国际标准化组织确认并公布的其他国际组织制定的标准</w:t>
      </w:r>
      <w:r>
        <w:rPr>
          <w:rFonts w:hint="eastAsia" w:ascii="宋体" w:hAnsi="宋体"/>
          <w:bCs/>
          <w:color w:val="auto"/>
          <w:szCs w:val="21"/>
          <w:highlight w:val="none"/>
        </w:rPr>
        <w:t>，</w:t>
      </w:r>
      <w:r>
        <w:rPr>
          <w:rFonts w:ascii="宋体" w:hAnsi="宋体"/>
          <w:bCs/>
          <w:color w:val="auto"/>
          <w:szCs w:val="21"/>
          <w:highlight w:val="none"/>
        </w:rPr>
        <w:t>在世界范围内统一使用。</w:t>
      </w:r>
    </w:p>
    <w:p w14:paraId="1F69DC05">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当年形成国际标准</w:t>
      </w:r>
      <w:r>
        <w:rPr>
          <w:rFonts w:hint="eastAsia" w:ascii="宋体" w:hAnsi="宋体"/>
          <w:bCs/>
          <w:color w:val="auto"/>
          <w:szCs w:val="21"/>
          <w:highlight w:val="none"/>
        </w:rPr>
        <w:t>指报告期当年企业主导制定形成的国际标准数。</w:t>
      </w:r>
    </w:p>
    <w:p w14:paraId="45698DEB">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累计形成国家或行业标准</w:t>
      </w:r>
      <w:r>
        <w:rPr>
          <w:rFonts w:hint="eastAsia" w:ascii="宋体" w:hAnsi="宋体"/>
          <w:bCs/>
          <w:color w:val="auto"/>
          <w:szCs w:val="21"/>
          <w:highlight w:val="none"/>
        </w:rPr>
        <w:t>指截至报告期末企业在自主研发或自主知识产权基础上形成的经有关部门批准的国家或行业标准项数。国家标准是指由国家标准化主管机构批准发布，对全国经济、技术发展有重大意义，且在全国范围内统一的标准。行业标准由行业标准归口部门编制计划、审批、编号、发布、管理。</w:t>
      </w:r>
      <w:r>
        <w:rPr>
          <w:color w:val="auto"/>
          <w:highlight w:val="none"/>
        </w:rPr>
        <w:fldChar w:fldCharType="begin"/>
      </w:r>
      <w:r>
        <w:rPr>
          <w:color w:val="auto"/>
          <w:highlight w:val="none"/>
        </w:rPr>
        <w:instrText xml:space="preserve"> HYPERLINK "http://www.farrali.net/post/2004-motor-standard.html" </w:instrText>
      </w:r>
      <w:r>
        <w:rPr>
          <w:color w:val="auto"/>
          <w:highlight w:val="none"/>
        </w:rPr>
        <w:fldChar w:fldCharType="separate"/>
      </w:r>
      <w:r>
        <w:rPr>
          <w:rFonts w:hint="eastAsia" w:ascii="宋体" w:hAnsi="宋体"/>
          <w:bCs/>
          <w:color w:val="auto"/>
          <w:szCs w:val="21"/>
          <w:highlight w:val="none"/>
        </w:rPr>
        <w:t>行业标准</w:t>
      </w:r>
      <w:r>
        <w:rPr>
          <w:rFonts w:hint="eastAsia" w:ascii="宋体" w:hAnsi="宋体"/>
          <w:bCs/>
          <w:color w:val="auto"/>
          <w:szCs w:val="21"/>
          <w:highlight w:val="none"/>
        </w:rPr>
        <w:fldChar w:fldCharType="end"/>
      </w:r>
      <w:r>
        <w:rPr>
          <w:rFonts w:hint="eastAsia" w:ascii="宋体" w:hAnsi="宋体"/>
          <w:bCs/>
          <w:color w:val="auto"/>
          <w:szCs w:val="21"/>
          <w:highlight w:val="none"/>
        </w:rPr>
        <w:t>的归口部门及其所管理的行业标准范围，由国务院行政主管部门审定。对没有国家标准又需要在全国某个行业范围内统一的技术要求，可以制定</w:t>
      </w:r>
      <w:r>
        <w:rPr>
          <w:color w:val="auto"/>
          <w:highlight w:val="none"/>
        </w:rPr>
        <w:fldChar w:fldCharType="begin"/>
      </w:r>
      <w:r>
        <w:rPr>
          <w:color w:val="auto"/>
          <w:highlight w:val="none"/>
        </w:rPr>
        <w:instrText xml:space="preserve"> HYPERLINK "http://www.farrali.net/post/motor-jb-standard.html" </w:instrText>
      </w:r>
      <w:r>
        <w:rPr>
          <w:color w:val="auto"/>
          <w:highlight w:val="none"/>
        </w:rPr>
        <w:fldChar w:fldCharType="separate"/>
      </w:r>
      <w:r>
        <w:rPr>
          <w:rFonts w:hint="eastAsia" w:ascii="宋体" w:hAnsi="宋体"/>
          <w:bCs/>
          <w:color w:val="auto"/>
          <w:szCs w:val="21"/>
          <w:highlight w:val="none"/>
        </w:rPr>
        <w:t>行业标准</w:t>
      </w:r>
      <w:r>
        <w:rPr>
          <w:rFonts w:hint="eastAsia" w:ascii="宋体" w:hAnsi="宋体"/>
          <w:bCs/>
          <w:color w:val="auto"/>
          <w:szCs w:val="21"/>
          <w:highlight w:val="none"/>
        </w:rPr>
        <w:fldChar w:fldCharType="end"/>
      </w:r>
      <w:r>
        <w:rPr>
          <w:rFonts w:hint="eastAsia" w:ascii="宋体" w:hAnsi="宋体"/>
          <w:bCs/>
          <w:color w:val="auto"/>
          <w:szCs w:val="21"/>
          <w:highlight w:val="none"/>
        </w:rPr>
        <w:t>，是专业性、技术性较强的标准。作为对国家标准的补充，当相应的国家标准实施后，该行业标准应自行废止。</w:t>
      </w:r>
    </w:p>
    <w:p w14:paraId="7B4E69F9">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当年形成国家或行业标准</w:t>
      </w:r>
      <w:r>
        <w:rPr>
          <w:rFonts w:hint="eastAsia" w:ascii="宋体" w:hAnsi="宋体"/>
          <w:bCs/>
          <w:color w:val="auto"/>
          <w:szCs w:val="21"/>
          <w:highlight w:val="none"/>
        </w:rPr>
        <w:t>指报告期内企业在自主研究开发或自主知识产权基础上形成的经有关部门批准的国家或行业标准项数。</w:t>
      </w:r>
    </w:p>
    <w:p w14:paraId="1EA001F6">
      <w:pPr>
        <w:widowControl/>
        <w:spacing w:line="400" w:lineRule="exact"/>
        <w:ind w:firstLine="420"/>
        <w:jc w:val="left"/>
        <w:rPr>
          <w:rFonts w:hint="default" w:ascii="Times New Roman" w:hAnsi="Times New Roman" w:eastAsia="黑体" w:cs="Times New Roman"/>
          <w:bCs/>
          <w:color w:val="auto"/>
          <w:szCs w:val="21"/>
          <w:highlight w:val="none"/>
          <w:lang w:val="en-US" w:eastAsia="zh-CN"/>
        </w:rPr>
      </w:pPr>
      <w:r>
        <w:rPr>
          <w:rFonts w:hint="eastAsia" w:ascii="Times New Roman" w:hAnsi="Times New Roman" w:eastAsia="黑体" w:cs="Times New Roman"/>
          <w:bCs/>
          <w:color w:val="auto"/>
          <w:szCs w:val="21"/>
          <w:highlight w:val="none"/>
          <w:lang w:val="en-US" w:eastAsia="zh-CN"/>
        </w:rPr>
        <w:t>近两年承担建设</w:t>
      </w:r>
      <w:r>
        <w:rPr>
          <w:rFonts w:hint="default" w:ascii="Times New Roman" w:hAnsi="Times New Roman" w:eastAsia="黑体" w:cs="Times New Roman"/>
          <w:bCs/>
          <w:color w:val="auto"/>
          <w:szCs w:val="21"/>
          <w:highlight w:val="none"/>
          <w:lang w:val="en-US" w:eastAsia="zh-CN"/>
        </w:rPr>
        <w:t>省级及以上研发或创新平台</w:t>
      </w:r>
      <w:r>
        <w:rPr>
          <w:rFonts w:hint="eastAsia" w:ascii="Times New Roman" w:hAnsi="Times New Roman" w:eastAsia="黑体" w:cs="Times New Roman"/>
          <w:bCs/>
          <w:color w:val="auto"/>
          <w:szCs w:val="21"/>
          <w:highlight w:val="none"/>
          <w:lang w:val="en-US" w:eastAsia="zh-CN"/>
        </w:rPr>
        <w:t>数量</w:t>
      </w:r>
      <w:r>
        <w:rPr>
          <w:rFonts w:hint="eastAsia" w:ascii="宋体" w:hAnsi="宋体" w:eastAsia="宋体" w:cs="宋体"/>
          <w:bCs/>
          <w:color w:val="auto"/>
          <w:szCs w:val="21"/>
          <w:highlight w:val="none"/>
          <w:lang w:val="en-US" w:eastAsia="zh-CN"/>
        </w:rPr>
        <w:t>指企业近两年获批的省级及以上重点实验室、工程中心等</w:t>
      </w:r>
      <w:r>
        <w:rPr>
          <w:rFonts w:hint="eastAsia" w:ascii="宋体" w:hAnsi="宋体" w:eastAsia="宋体" w:cs="宋体"/>
          <w:bCs/>
          <w:i w:val="0"/>
          <w:iCs w:val="0"/>
          <w:caps w:val="0"/>
          <w:color w:val="auto"/>
          <w:spacing w:val="0"/>
          <w:sz w:val="21"/>
          <w:szCs w:val="21"/>
          <w:highlight w:val="none"/>
          <w:shd w:val="clear" w:color="auto" w:fill="auto"/>
          <w:lang w:val="en-US" w:eastAsia="zh-CN"/>
        </w:rPr>
        <w:t>。</w:t>
      </w:r>
    </w:p>
    <w:p w14:paraId="6A74FEBF">
      <w:pPr>
        <w:widowControl/>
        <w:spacing w:line="400" w:lineRule="exact"/>
        <w:ind w:firstLine="420"/>
        <w:jc w:val="left"/>
        <w:rPr>
          <w:rFonts w:hint="default" w:ascii="Times New Roman" w:hAnsi="Times New Roman" w:eastAsia="黑体" w:cs="Times New Roman"/>
          <w:bCs/>
          <w:color w:val="auto"/>
          <w:szCs w:val="21"/>
          <w:highlight w:val="none"/>
          <w:lang w:val="en-US" w:eastAsia="zh-CN"/>
        </w:rPr>
      </w:pPr>
      <w:r>
        <w:rPr>
          <w:rFonts w:hint="eastAsia" w:ascii="Times New Roman" w:hAnsi="Times New Roman" w:eastAsia="黑体" w:cs="Times New Roman"/>
          <w:bCs/>
          <w:color w:val="auto"/>
          <w:szCs w:val="21"/>
          <w:highlight w:val="none"/>
          <w:lang w:val="en-US" w:eastAsia="zh-CN"/>
        </w:rPr>
        <w:t>近两年获得省级及以上科技奖励数量</w:t>
      </w:r>
      <w:r>
        <w:rPr>
          <w:rFonts w:hint="eastAsia" w:ascii="宋体" w:hAnsi="宋体" w:eastAsia="宋体" w:cs="宋体"/>
          <w:bCs/>
          <w:color w:val="auto"/>
          <w:szCs w:val="21"/>
          <w:highlight w:val="none"/>
          <w:lang w:val="en-US" w:eastAsia="zh-CN"/>
        </w:rPr>
        <w:t>指企业近两年作为第一单位获得的省级及以上科技奖励数量</w:t>
      </w:r>
      <w:r>
        <w:rPr>
          <w:rFonts w:hint="eastAsia" w:ascii="宋体" w:hAnsi="宋体" w:eastAsia="宋体" w:cs="宋体"/>
          <w:bCs/>
          <w:i w:val="0"/>
          <w:iCs w:val="0"/>
          <w:caps w:val="0"/>
          <w:color w:val="auto"/>
          <w:spacing w:val="0"/>
          <w:sz w:val="21"/>
          <w:szCs w:val="21"/>
          <w:highlight w:val="none"/>
          <w:shd w:val="clear" w:color="auto" w:fill="auto"/>
          <w:lang w:val="en-US" w:eastAsia="zh-CN"/>
        </w:rPr>
        <w:t>。</w:t>
      </w:r>
    </w:p>
    <w:p w14:paraId="19138FD6">
      <w:pPr>
        <w:widowControl/>
        <w:spacing w:line="400" w:lineRule="exact"/>
        <w:ind w:firstLine="420"/>
        <w:jc w:val="left"/>
        <w:rPr>
          <w:rFonts w:hint="eastAsia" w:ascii="宋体" w:hAnsi="宋体" w:eastAsia="宋体" w:cs="宋体"/>
          <w:bCs/>
          <w:color w:val="auto"/>
          <w:szCs w:val="21"/>
          <w:highlight w:val="none"/>
          <w:lang w:val="en-US" w:eastAsia="zh-CN"/>
        </w:rPr>
      </w:pPr>
      <w:r>
        <w:rPr>
          <w:rFonts w:hint="eastAsia" w:ascii="Times New Roman" w:hAnsi="Times New Roman" w:eastAsia="黑体" w:cs="Times New Roman"/>
          <w:bCs/>
          <w:color w:val="auto"/>
          <w:szCs w:val="21"/>
          <w:highlight w:val="none"/>
          <w:lang w:val="en-US" w:eastAsia="zh-CN"/>
        </w:rPr>
        <w:t>近两年承担省级及以上科技计划项目数量</w:t>
      </w:r>
      <w:r>
        <w:rPr>
          <w:rFonts w:hint="eastAsia" w:ascii="宋体" w:hAnsi="宋体" w:eastAsia="宋体" w:cs="宋体"/>
          <w:bCs/>
          <w:color w:val="auto"/>
          <w:szCs w:val="21"/>
          <w:highlight w:val="none"/>
          <w:lang w:val="en-US" w:eastAsia="zh-CN"/>
        </w:rPr>
        <w:t>指企业近两年作为牵头单位承担的省级及以上科技计划项目数量（国家级科技计划项目可为项目或课题）</w:t>
      </w:r>
      <w:r>
        <w:rPr>
          <w:rFonts w:hint="eastAsia" w:ascii="宋体" w:hAnsi="宋体" w:eastAsia="宋体" w:cs="宋体"/>
          <w:bCs/>
          <w:i w:val="0"/>
          <w:iCs w:val="0"/>
          <w:caps w:val="0"/>
          <w:color w:val="auto"/>
          <w:spacing w:val="0"/>
          <w:sz w:val="21"/>
          <w:szCs w:val="21"/>
          <w:highlight w:val="none"/>
          <w:shd w:val="clear" w:color="auto" w:fill="auto"/>
          <w:lang w:val="en-US" w:eastAsia="zh-CN"/>
        </w:rPr>
        <w:t>。</w:t>
      </w:r>
    </w:p>
    <w:p w14:paraId="6638B9EA">
      <w:pPr>
        <w:widowControl/>
        <w:spacing w:line="400" w:lineRule="exact"/>
        <w:ind w:firstLine="420" w:firstLineChars="200"/>
        <w:jc w:val="left"/>
        <w:rPr>
          <w:rFonts w:ascii="Times New Roman" w:hAnsi="Times New Roman"/>
          <w:color w:val="auto"/>
          <w:szCs w:val="21"/>
          <w:highlight w:val="none"/>
        </w:rPr>
      </w:pPr>
      <w:r>
        <w:rPr>
          <w:rFonts w:ascii="Times New Roman" w:hAnsi="Times New Roman" w:eastAsia="黑体"/>
          <w:bCs/>
          <w:color w:val="auto"/>
          <w:szCs w:val="21"/>
          <w:highlight w:val="none"/>
        </w:rPr>
        <w:t>认定登记的技术合同项数</w:t>
      </w:r>
      <w:r>
        <w:rPr>
          <w:rFonts w:ascii="Times New Roman" w:hAnsi="Times New Roman"/>
          <w:bCs/>
          <w:color w:val="auto"/>
          <w:szCs w:val="21"/>
          <w:highlight w:val="none"/>
        </w:rPr>
        <w:t>指报告期内企业在</w:t>
      </w:r>
      <w:r>
        <w:rPr>
          <w:rFonts w:hint="eastAsia" w:ascii="Times New Roman" w:hAnsi="Times New Roman"/>
          <w:bCs/>
          <w:color w:val="auto"/>
          <w:szCs w:val="21"/>
          <w:highlight w:val="none"/>
          <w:lang w:eastAsia="zh-CN"/>
        </w:rPr>
        <w:t>工业和信息化部</w:t>
      </w:r>
      <w:r>
        <w:rPr>
          <w:rFonts w:ascii="Times New Roman" w:hAnsi="Times New Roman"/>
          <w:bCs/>
          <w:color w:val="auto"/>
          <w:szCs w:val="21"/>
          <w:highlight w:val="none"/>
        </w:rPr>
        <w:t>进行认定登记的技术合同数量。</w:t>
      </w:r>
      <w:bookmarkStart w:id="34" w:name="_Hlk121748608"/>
      <w:r>
        <w:rPr>
          <w:rFonts w:ascii="Times New Roman" w:hAnsi="Times New Roman"/>
          <w:bCs/>
          <w:color w:val="auto"/>
          <w:szCs w:val="21"/>
          <w:highlight w:val="none"/>
        </w:rPr>
        <w:t>技术合同的类型包括5类：技术开发、技术转让、技术许可、技术咨询和技术服务。</w:t>
      </w:r>
      <w:bookmarkEnd w:id="34"/>
      <w:r>
        <w:rPr>
          <w:rFonts w:hint="eastAsia" w:ascii="Times New Roman" w:hAnsi="Times New Roman"/>
          <w:color w:val="auto"/>
          <w:szCs w:val="21"/>
          <w:highlight w:val="none"/>
        </w:rPr>
        <w:t>不包括获得国家和省市各类支持计划所签订的技术合同。</w:t>
      </w:r>
    </w:p>
    <w:p w14:paraId="4510E4FD">
      <w:pPr>
        <w:widowControl/>
        <w:spacing w:line="400" w:lineRule="exact"/>
        <w:ind w:firstLine="420" w:firstLineChars="200"/>
        <w:jc w:val="left"/>
        <w:rPr>
          <w:rFonts w:ascii="Times New Roman" w:hAnsi="Times New Roman"/>
          <w:bCs/>
          <w:color w:val="auto"/>
          <w:highlight w:val="none"/>
        </w:rPr>
      </w:pPr>
      <w:r>
        <w:rPr>
          <w:rFonts w:ascii="Times New Roman" w:hAnsi="Times New Roman" w:eastAsia="黑体"/>
          <w:bCs/>
          <w:color w:val="auto"/>
          <w:szCs w:val="21"/>
          <w:highlight w:val="none"/>
        </w:rPr>
        <w:t>从境外引进技术合同数</w:t>
      </w:r>
      <w:r>
        <w:rPr>
          <w:rFonts w:ascii="Times New Roman" w:hAnsi="Times New Roman"/>
          <w:bCs/>
          <w:color w:val="auto"/>
          <w:highlight w:val="none"/>
        </w:rPr>
        <w:t>指报告期内企业在</w:t>
      </w:r>
      <w:r>
        <w:rPr>
          <w:rFonts w:hint="eastAsia" w:ascii="Times New Roman" w:hAnsi="Times New Roman"/>
          <w:bCs/>
          <w:color w:val="auto"/>
          <w:highlight w:val="none"/>
          <w:lang w:eastAsia="zh-CN"/>
        </w:rPr>
        <w:t>工业和信息化部</w:t>
      </w:r>
      <w:r>
        <w:rPr>
          <w:rFonts w:ascii="Times New Roman" w:hAnsi="Times New Roman"/>
          <w:bCs/>
          <w:color w:val="auto"/>
          <w:highlight w:val="none"/>
        </w:rPr>
        <w:t>进行认定登记的境外引进技术合同数量。</w:t>
      </w:r>
    </w:p>
    <w:p w14:paraId="69130D8B">
      <w:pPr>
        <w:widowControl/>
        <w:spacing w:line="400" w:lineRule="exact"/>
        <w:ind w:firstLine="420" w:firstLineChars="200"/>
        <w:jc w:val="left"/>
        <w:rPr>
          <w:rFonts w:ascii="Times New Roman" w:hAnsi="Times New Roman"/>
          <w:bCs/>
          <w:color w:val="auto"/>
          <w:highlight w:val="none"/>
        </w:rPr>
      </w:pPr>
      <w:r>
        <w:rPr>
          <w:rFonts w:ascii="Times New Roman" w:hAnsi="Times New Roman" w:eastAsia="黑体"/>
          <w:bCs/>
          <w:color w:val="auto"/>
          <w:szCs w:val="21"/>
          <w:highlight w:val="none"/>
        </w:rPr>
        <w:t>向境外输出技术合同数</w:t>
      </w:r>
      <w:r>
        <w:rPr>
          <w:rFonts w:ascii="Times New Roman" w:hAnsi="Times New Roman"/>
          <w:bCs/>
          <w:color w:val="auto"/>
          <w:highlight w:val="none"/>
        </w:rPr>
        <w:t>指报告期内企业在</w:t>
      </w:r>
      <w:r>
        <w:rPr>
          <w:rFonts w:hint="eastAsia" w:ascii="Times New Roman" w:hAnsi="Times New Roman"/>
          <w:bCs/>
          <w:color w:val="auto"/>
          <w:highlight w:val="none"/>
          <w:lang w:eastAsia="zh-CN"/>
        </w:rPr>
        <w:t>工业和信息化部</w:t>
      </w:r>
      <w:r>
        <w:rPr>
          <w:rFonts w:ascii="Times New Roman" w:hAnsi="Times New Roman"/>
          <w:bCs/>
          <w:color w:val="auto"/>
          <w:highlight w:val="none"/>
        </w:rPr>
        <w:t>进行认定登记的向境外输出技术合同数量。</w:t>
      </w:r>
    </w:p>
    <w:p w14:paraId="2A10D903">
      <w:pPr>
        <w:widowControl/>
        <w:spacing w:line="400" w:lineRule="exact"/>
        <w:ind w:firstLine="420" w:firstLineChars="200"/>
        <w:jc w:val="left"/>
        <w:rPr>
          <w:rFonts w:ascii="Times New Roman" w:hAnsi="Times New Roman"/>
          <w:bCs/>
          <w:color w:val="auto"/>
          <w:szCs w:val="18"/>
          <w:highlight w:val="none"/>
        </w:rPr>
      </w:pPr>
      <w:r>
        <w:rPr>
          <w:rFonts w:ascii="Times New Roman" w:hAnsi="Times New Roman" w:eastAsia="黑体"/>
          <w:bCs/>
          <w:color w:val="auto"/>
          <w:szCs w:val="21"/>
          <w:highlight w:val="none"/>
        </w:rPr>
        <w:t>认定登记的技术合同成交金额</w:t>
      </w:r>
      <w:r>
        <w:rPr>
          <w:rFonts w:hint="eastAsia" w:ascii="宋体" w:hAnsi="宋体" w:cs="仿宋_GB2312"/>
          <w:bCs/>
          <w:color w:val="auto"/>
          <w:szCs w:val="18"/>
          <w:highlight w:val="none"/>
        </w:rPr>
        <w:t>指报告期内企业作为卖方签订成立的技术合同成交项目的总金额。</w:t>
      </w:r>
    </w:p>
    <w:p w14:paraId="407DCFDD">
      <w:pPr>
        <w:widowControl/>
        <w:spacing w:line="400" w:lineRule="exact"/>
        <w:ind w:firstLine="420" w:firstLineChars="200"/>
        <w:jc w:val="left"/>
        <w:rPr>
          <w:rFonts w:ascii="Times New Roman" w:hAnsi="Times New Roman"/>
          <w:bCs/>
          <w:color w:val="auto"/>
          <w:szCs w:val="18"/>
          <w:highlight w:val="none"/>
        </w:rPr>
      </w:pPr>
      <w:r>
        <w:rPr>
          <w:rFonts w:ascii="Times New Roman" w:hAnsi="Times New Roman" w:eastAsia="黑体"/>
          <w:bCs/>
          <w:color w:val="auto"/>
          <w:szCs w:val="21"/>
          <w:highlight w:val="none"/>
        </w:rPr>
        <w:t>从境外引进技术合同成交金额</w:t>
      </w:r>
      <w:r>
        <w:rPr>
          <w:rFonts w:ascii="Times New Roman" w:hAnsi="Times New Roman"/>
          <w:bCs/>
          <w:color w:val="auto"/>
          <w:szCs w:val="18"/>
          <w:highlight w:val="none"/>
        </w:rPr>
        <w:t>指报告期内企业签订成立的境外引进技术合同成交项目的总金额。</w:t>
      </w:r>
    </w:p>
    <w:p w14:paraId="6AA4B0FC">
      <w:pPr>
        <w:widowControl/>
        <w:spacing w:line="400" w:lineRule="exact"/>
        <w:ind w:firstLine="420" w:firstLineChars="200"/>
        <w:jc w:val="left"/>
        <w:rPr>
          <w:rFonts w:ascii="Times New Roman" w:hAnsi="Times New Roman"/>
          <w:bCs/>
          <w:color w:val="auto"/>
          <w:szCs w:val="18"/>
          <w:highlight w:val="none"/>
        </w:rPr>
      </w:pPr>
      <w:r>
        <w:rPr>
          <w:rFonts w:ascii="Times New Roman" w:hAnsi="Times New Roman" w:eastAsia="黑体"/>
          <w:bCs/>
          <w:color w:val="auto"/>
          <w:szCs w:val="21"/>
          <w:highlight w:val="none"/>
        </w:rPr>
        <w:t>向境外输出技术合同成交金额</w:t>
      </w:r>
      <w:r>
        <w:rPr>
          <w:rFonts w:ascii="Times New Roman" w:hAnsi="Times New Roman"/>
          <w:bCs/>
          <w:color w:val="auto"/>
          <w:szCs w:val="18"/>
          <w:highlight w:val="none"/>
        </w:rPr>
        <w:t>指报告期内企业签订成立的向境外输出技术合同成交项目的总金额。</w:t>
      </w:r>
    </w:p>
    <w:p w14:paraId="7BECF755">
      <w:pPr>
        <w:spacing w:line="360" w:lineRule="exact"/>
        <w:ind w:firstLine="420" w:firstLineChars="200"/>
        <w:rPr>
          <w:rFonts w:ascii="宋体" w:cs="宋体"/>
          <w:color w:val="auto"/>
          <w:highlight w:val="none"/>
        </w:rPr>
      </w:pPr>
      <w:r>
        <w:rPr>
          <w:rFonts w:hint="eastAsia" w:ascii="黑体" w:hAnsi="宋体" w:eastAsia="黑体" w:cs="黑体"/>
          <w:color w:val="auto"/>
          <w:highlight w:val="none"/>
        </w:rPr>
        <w:t>技术改造经费支出</w:t>
      </w:r>
      <w:r>
        <w:rPr>
          <w:rFonts w:hint="eastAsia" w:ascii="宋体" w:hAnsi="宋体" w:cs="宋体"/>
          <w:color w:val="auto"/>
          <w:highlight w:val="none"/>
        </w:rPr>
        <w:t>指报告期内企业进行技术改造而发生的费用支出。技术改造指企业在坚持科技进步的前提下，将科技成果应用于生产的各个领域（产品、设备、工艺等），用先进工艺、设备代替落后工艺、设备，实现以内涵为主的扩大再生产，从而提高产品质量、促进产品更新换代、节约能源、降低消耗，全面提高综合经济效益。</w:t>
      </w:r>
    </w:p>
    <w:p w14:paraId="062081DA">
      <w:pPr>
        <w:spacing w:line="360" w:lineRule="exact"/>
        <w:ind w:firstLine="420" w:firstLineChars="200"/>
        <w:rPr>
          <w:rFonts w:ascii="宋体"/>
          <w:color w:val="auto"/>
          <w:highlight w:val="none"/>
        </w:rPr>
      </w:pPr>
      <w:r>
        <w:rPr>
          <w:rFonts w:hint="eastAsia" w:ascii="黑体" w:hAnsi="宋体" w:eastAsia="黑体" w:cs="黑体"/>
          <w:color w:val="auto"/>
          <w:highlight w:val="none"/>
        </w:rPr>
        <w:t>购买境内技术经费支出</w:t>
      </w:r>
      <w:r>
        <w:rPr>
          <w:rFonts w:hint="eastAsia" w:ascii="宋体" w:hAnsi="宋体" w:cs="宋体"/>
          <w:color w:val="auto"/>
          <w:highlight w:val="none"/>
        </w:rPr>
        <w:t>指报告期内企业购买境内其他单位科技成果的经费支出。包括购买产品设计、工艺流程、图纸、配方、专利、技术诀窍及设备的费用支出。</w:t>
      </w:r>
    </w:p>
    <w:p w14:paraId="2E55AD15">
      <w:pPr>
        <w:spacing w:line="360" w:lineRule="exact"/>
        <w:ind w:firstLine="420" w:firstLineChars="200"/>
        <w:rPr>
          <w:rFonts w:ascii="宋体"/>
          <w:color w:val="auto"/>
          <w:spacing w:val="4"/>
          <w:highlight w:val="none"/>
        </w:rPr>
      </w:pPr>
      <w:r>
        <w:rPr>
          <w:rFonts w:hint="eastAsia" w:ascii="黑体" w:hAnsi="宋体" w:eastAsia="黑体" w:cs="黑体"/>
          <w:color w:val="auto"/>
          <w:highlight w:val="none"/>
        </w:rPr>
        <w:t>引进境外技术经费支出</w:t>
      </w:r>
      <w:r>
        <w:rPr>
          <w:rFonts w:hint="eastAsia" w:ascii="宋体" w:hAnsi="宋体" w:cs="宋体"/>
          <w:color w:val="auto"/>
          <w:spacing w:val="4"/>
          <w:highlight w:val="none"/>
        </w:rPr>
        <w:t>指报告期内企业用于购买国外或港澳台技术的费用支出，包括产品设计、工艺流程、图纸、配方、专利等技术资料的费用支出，以及购买设备、仪器、样机和样件等的费用支出。</w:t>
      </w:r>
    </w:p>
    <w:p w14:paraId="6CB12F78">
      <w:pPr>
        <w:widowControl/>
        <w:spacing w:line="400" w:lineRule="exact"/>
        <w:ind w:firstLine="420" w:firstLineChars="200"/>
        <w:jc w:val="left"/>
        <w:rPr>
          <w:rFonts w:ascii="Times New Roman" w:hAnsi="Times New Roman"/>
          <w:bCs/>
          <w:color w:val="auto"/>
          <w:szCs w:val="21"/>
          <w:highlight w:val="none"/>
        </w:rPr>
      </w:pPr>
      <w:r>
        <w:rPr>
          <w:rFonts w:hint="eastAsia" w:ascii="黑体" w:hAnsi="宋体" w:eastAsia="黑体" w:cs="黑体"/>
          <w:color w:val="auto"/>
          <w:highlight w:val="none"/>
        </w:rPr>
        <w:t>引进境外技术的消化吸收经费支出</w:t>
      </w:r>
      <w:r>
        <w:rPr>
          <w:rFonts w:hint="eastAsia" w:ascii="宋体" w:hAnsi="宋体" w:cs="宋体"/>
          <w:color w:val="auto"/>
          <w:highlight w:val="none"/>
        </w:rPr>
        <w:t>指报告期内企业引进国外或</w:t>
      </w:r>
      <w:r>
        <w:rPr>
          <w:rFonts w:ascii="宋体" w:hAnsi="宋体" w:cs="宋体"/>
          <w:color w:val="auto"/>
          <w:highlight w:val="none"/>
        </w:rPr>
        <w:t>港澳台</w:t>
      </w:r>
      <w:r>
        <w:rPr>
          <w:rFonts w:hint="eastAsia" w:ascii="宋体" w:hAnsi="宋体" w:cs="宋体"/>
          <w:color w:val="auto"/>
          <w:highlight w:val="none"/>
        </w:rPr>
        <w:t>技术的消化吸收经费支出。引进技术的消化吸收指对引进技术的掌握、应用、复制</w:t>
      </w:r>
      <w:r>
        <w:rPr>
          <w:rFonts w:hint="eastAsia" w:ascii="宋体" w:hAnsi="宋体" w:cs="宋体"/>
          <w:color w:val="auto"/>
          <w:spacing w:val="2"/>
          <w:highlight w:val="none"/>
        </w:rPr>
        <w:t>而开展的工作，以及在此基础上的创新。引进技术的消化吸收经费支出包括：人员培训费、</w:t>
      </w:r>
      <w:r>
        <w:rPr>
          <w:rFonts w:hint="eastAsia" w:ascii="宋体" w:hAnsi="宋体" w:cs="宋体"/>
          <w:color w:val="auto"/>
          <w:highlight w:val="none"/>
        </w:rPr>
        <w:t>测绘费、参加消化吸收人员的工资、工装、工艺开发费、必备的配套设备费、翻版费等。</w:t>
      </w:r>
    </w:p>
    <w:p w14:paraId="63C53C07">
      <w:pPr>
        <w:widowControl/>
        <w:spacing w:line="400" w:lineRule="exact"/>
        <w:ind w:firstLine="420" w:firstLineChars="200"/>
        <w:jc w:val="left"/>
        <w:rPr>
          <w:rFonts w:ascii="Times New Roman" w:hAnsi="Times New Roman"/>
          <w:bCs/>
          <w:color w:val="auto"/>
          <w:sz w:val="24"/>
          <w:szCs w:val="24"/>
          <w:highlight w:val="none"/>
        </w:rPr>
      </w:pPr>
      <w:r>
        <w:rPr>
          <w:rFonts w:ascii="Times New Roman" w:hAnsi="Times New Roman" w:eastAsia="黑体"/>
          <w:bCs/>
          <w:color w:val="auto"/>
          <w:szCs w:val="21"/>
          <w:highlight w:val="none"/>
        </w:rPr>
        <w:t>期末企业在境外设立的营销服务机构数</w:t>
      </w:r>
      <w:r>
        <w:rPr>
          <w:rFonts w:ascii="Times New Roman" w:hAnsi="Times New Roman"/>
          <w:bCs/>
          <w:color w:val="auto"/>
          <w:szCs w:val="21"/>
          <w:highlight w:val="none"/>
        </w:rPr>
        <w:t>指报告期末企业在国外或港澳台自办（或与外单位合办）的专门负责营销及服务的机构数量。与外单位合办的营销服务机构若主要由本企业出资兴办，则由本企业统计，否则应由合办方统计。</w:t>
      </w:r>
    </w:p>
    <w:p w14:paraId="78EDA6E1">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期末企业在境外设立的研究开发机构数</w:t>
      </w:r>
      <w:r>
        <w:rPr>
          <w:rFonts w:ascii="Times New Roman" w:hAnsi="Times New Roman"/>
          <w:bCs/>
          <w:color w:val="auto"/>
          <w:szCs w:val="21"/>
          <w:highlight w:val="none"/>
        </w:rPr>
        <w:t>指报告期末企业在国外或港澳台自办（或与外单位合办）的专门研究开发机构。与外单位合办的研究开发机构若主要由本企业出资兴办，则由本企业统计，否则应由合办方统计。</w:t>
      </w:r>
    </w:p>
    <w:p w14:paraId="398B63C2">
      <w:pPr>
        <w:widowControl/>
        <w:spacing w:line="400" w:lineRule="exact"/>
        <w:ind w:firstLine="420" w:firstLineChars="200"/>
        <w:jc w:val="left"/>
        <w:rPr>
          <w:rFonts w:ascii="Times New Roman" w:hAnsi="Times New Roman"/>
          <w:bCs/>
          <w:color w:val="auto"/>
          <w:szCs w:val="21"/>
          <w:highlight w:val="none"/>
        </w:rPr>
      </w:pPr>
      <w:r>
        <w:rPr>
          <w:rFonts w:ascii="Times New Roman" w:hAnsi="Times New Roman" w:eastAsia="黑体"/>
          <w:bCs/>
          <w:color w:val="auto"/>
          <w:szCs w:val="21"/>
          <w:highlight w:val="none"/>
        </w:rPr>
        <w:t>期末企业在境外设立的生产制造基地数</w:t>
      </w:r>
      <w:r>
        <w:rPr>
          <w:rFonts w:ascii="Times New Roman" w:hAnsi="Times New Roman"/>
          <w:bCs/>
          <w:color w:val="auto"/>
          <w:szCs w:val="21"/>
          <w:highlight w:val="none"/>
        </w:rPr>
        <w:t>指报告期末企业在国外或港澳台自办（或与外单位合办）的生产制造基地数。与外单位合办的生产制造基地若主要由本企业出资兴办，则由本企业统计，否则应由合办方统计。</w:t>
      </w:r>
    </w:p>
    <w:p w14:paraId="2DD3C9FC">
      <w:pPr>
        <w:widowControl/>
        <w:spacing w:line="400" w:lineRule="exact"/>
        <w:ind w:firstLine="420" w:firstLineChars="200"/>
        <w:jc w:val="left"/>
        <w:rPr>
          <w:rFonts w:ascii="Times New Roman" w:hAnsi="Times New Roman"/>
          <w:bCs/>
          <w:color w:val="auto"/>
          <w:highlight w:val="none"/>
        </w:rPr>
      </w:pPr>
      <w:r>
        <w:rPr>
          <w:rFonts w:ascii="Times New Roman" w:hAnsi="Times New Roman" w:eastAsia="黑体"/>
          <w:bCs/>
          <w:color w:val="auto"/>
          <w:szCs w:val="21"/>
          <w:highlight w:val="none"/>
        </w:rPr>
        <w:t>当年在境外设立分支机构数量</w:t>
      </w:r>
      <w:r>
        <w:rPr>
          <w:rFonts w:ascii="Times New Roman" w:hAnsi="Times New Roman"/>
          <w:bCs/>
          <w:color w:val="auto"/>
          <w:szCs w:val="21"/>
          <w:highlight w:val="none"/>
        </w:rPr>
        <w:t>指报告期当年企业在国外或港澳台自办（或与外单位合办）的营销服务机构、研究开发机构和生产制造基地的总数。与外单位合办的若主要由本企业出资兴办，则由本企业统计，否则应由合办方统计。</w:t>
      </w:r>
    </w:p>
    <w:bookmarkEnd w:id="1"/>
    <w:p w14:paraId="03AE8E11">
      <w:pPr>
        <w:rPr>
          <w:color w:val="auto"/>
          <w:highlight w:val="none"/>
        </w:rPr>
      </w:pPr>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411A4735">
      <w:pPr>
        <w:tabs>
          <w:tab w:val="left" w:pos="645"/>
        </w:tabs>
        <w:jc w:val="left"/>
        <w:outlineLvl w:val="9"/>
        <w:rPr>
          <w:color w:val="auto"/>
          <w:highlight w:val="none"/>
        </w:rPr>
      </w:pPr>
      <w:bookmarkStart w:id="35" w:name="_Toc530752901"/>
      <w:bookmarkStart w:id="36" w:name="_Toc525748073"/>
    </w:p>
    <w:bookmarkEnd w:id="35"/>
    <w:bookmarkEnd w:id="36"/>
    <w:p w14:paraId="3B25AD42">
      <w:pPr>
        <w:pStyle w:val="33"/>
        <w:ind w:left="0" w:leftChars="0" w:firstLine="0" w:firstLineChars="0"/>
        <w:rPr>
          <w:rFonts w:hint="default"/>
          <w:color w:val="auto"/>
          <w:highlight w:val="none"/>
        </w:rPr>
      </w:pPr>
    </w:p>
    <w:sectPr>
      <w:headerReference r:id="rId3" w:type="default"/>
      <w:footerReference r:id="rId4" w:type="default"/>
      <w:pgSz w:w="11906" w:h="16838"/>
      <w:pgMar w:top="1417" w:right="1247" w:bottom="1247" w:left="1247" w:header="851" w:footer="737"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roman"/>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Nimbus Roman No9 L">
    <w:altName w:val="微软雅黑"/>
    <w:panose1 w:val="00000000000000000000"/>
    <w:charset w:val="00"/>
    <w:family w:val="auto"/>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430FE">
    <w:pPr>
      <w:pStyle w:val="18"/>
      <w:jc w:val="center"/>
      <w:rPr>
        <w:rFonts w:hint="eastAsia"/>
        <w:sz w:val="21"/>
        <w:szCs w:val="21"/>
        <w:lang w:eastAsia="zh-CN"/>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91</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B28AA">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pStyle w:val="148"/>
      <w:lvlText w:val="%1."/>
      <w:lvlJc w:val="left"/>
      <w:pPr>
        <w:tabs>
          <w:tab w:val="left" w:pos="1020"/>
        </w:tabs>
        <w:ind w:left="1020" w:hanging="330"/>
      </w:pPr>
      <w:rPr>
        <w:rFonts w:hint="eastAsia"/>
      </w:rPr>
    </w:lvl>
  </w:abstractNum>
  <w:abstractNum w:abstractNumId="1">
    <w:nsid w:val="5D9C0DF8"/>
    <w:multiLevelType w:val="singleLevel"/>
    <w:tmpl w:val="5D9C0DF8"/>
    <w:lvl w:ilvl="0" w:tentative="0">
      <w:start w:val="1"/>
      <w:numFmt w:val="decimal"/>
      <w:suff w:val="nothing"/>
      <w:lvlText w:val="（%1）"/>
      <w:lvlJc w:val="left"/>
    </w:lvl>
  </w:abstractNum>
  <w:abstractNum w:abstractNumId="2">
    <w:nsid w:val="7F7D3086"/>
    <w:multiLevelType w:val="singleLevel"/>
    <w:tmpl w:val="7F7D3086"/>
    <w:lvl w:ilvl="0" w:tentative="0">
      <w:start w:val="1"/>
      <w:numFmt w:val="chineseCounting"/>
      <w:pStyle w:val="112"/>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ZGZmZmRjMTQyZDU0MzUzYTk2N2I5NTU5NDRjNTAifQ=="/>
  </w:docVars>
  <w:rsids>
    <w:rsidRoot w:val="00735758"/>
    <w:rsid w:val="00000442"/>
    <w:rsid w:val="00000FAD"/>
    <w:rsid w:val="00001E2A"/>
    <w:rsid w:val="00005169"/>
    <w:rsid w:val="000073B9"/>
    <w:rsid w:val="0001112D"/>
    <w:rsid w:val="000113E3"/>
    <w:rsid w:val="000206FA"/>
    <w:rsid w:val="000242C8"/>
    <w:rsid w:val="00025E6C"/>
    <w:rsid w:val="00026A27"/>
    <w:rsid w:val="00032123"/>
    <w:rsid w:val="00047712"/>
    <w:rsid w:val="00047FAB"/>
    <w:rsid w:val="000518A3"/>
    <w:rsid w:val="000520BB"/>
    <w:rsid w:val="00054B9E"/>
    <w:rsid w:val="000567AF"/>
    <w:rsid w:val="00057EEC"/>
    <w:rsid w:val="00060643"/>
    <w:rsid w:val="000609DF"/>
    <w:rsid w:val="0006111A"/>
    <w:rsid w:val="000611A0"/>
    <w:rsid w:val="00070A13"/>
    <w:rsid w:val="00071697"/>
    <w:rsid w:val="00071E0E"/>
    <w:rsid w:val="0007469F"/>
    <w:rsid w:val="000749A7"/>
    <w:rsid w:val="000763BF"/>
    <w:rsid w:val="000765CE"/>
    <w:rsid w:val="000779F6"/>
    <w:rsid w:val="00077CF1"/>
    <w:rsid w:val="00084CF2"/>
    <w:rsid w:val="00085317"/>
    <w:rsid w:val="00085C62"/>
    <w:rsid w:val="00085F48"/>
    <w:rsid w:val="000873CD"/>
    <w:rsid w:val="000903F9"/>
    <w:rsid w:val="000930BE"/>
    <w:rsid w:val="00097261"/>
    <w:rsid w:val="000A04CB"/>
    <w:rsid w:val="000A5737"/>
    <w:rsid w:val="000A5EC6"/>
    <w:rsid w:val="000A6564"/>
    <w:rsid w:val="000B23CD"/>
    <w:rsid w:val="000B4A10"/>
    <w:rsid w:val="000B694B"/>
    <w:rsid w:val="000C2C45"/>
    <w:rsid w:val="000C392B"/>
    <w:rsid w:val="000C52DE"/>
    <w:rsid w:val="000C55F8"/>
    <w:rsid w:val="000C7378"/>
    <w:rsid w:val="000E1363"/>
    <w:rsid w:val="000E243D"/>
    <w:rsid w:val="000E5300"/>
    <w:rsid w:val="000E6F0B"/>
    <w:rsid w:val="000F21C5"/>
    <w:rsid w:val="000F325C"/>
    <w:rsid w:val="000F4E4F"/>
    <w:rsid w:val="000F55A3"/>
    <w:rsid w:val="000F7269"/>
    <w:rsid w:val="00101A88"/>
    <w:rsid w:val="00103A0E"/>
    <w:rsid w:val="00103F99"/>
    <w:rsid w:val="001050C0"/>
    <w:rsid w:val="00105253"/>
    <w:rsid w:val="00105DE8"/>
    <w:rsid w:val="001064E7"/>
    <w:rsid w:val="0010703F"/>
    <w:rsid w:val="0011007D"/>
    <w:rsid w:val="00110215"/>
    <w:rsid w:val="00110602"/>
    <w:rsid w:val="00113290"/>
    <w:rsid w:val="00116518"/>
    <w:rsid w:val="00116C72"/>
    <w:rsid w:val="00122BCE"/>
    <w:rsid w:val="00124DF8"/>
    <w:rsid w:val="00125881"/>
    <w:rsid w:val="00126531"/>
    <w:rsid w:val="00130BDB"/>
    <w:rsid w:val="00131AF1"/>
    <w:rsid w:val="00133688"/>
    <w:rsid w:val="00135E6B"/>
    <w:rsid w:val="0013777D"/>
    <w:rsid w:val="0014058A"/>
    <w:rsid w:val="00144BEF"/>
    <w:rsid w:val="00145111"/>
    <w:rsid w:val="0014584C"/>
    <w:rsid w:val="00145A9B"/>
    <w:rsid w:val="00146065"/>
    <w:rsid w:val="00152702"/>
    <w:rsid w:val="001568F7"/>
    <w:rsid w:val="00157A73"/>
    <w:rsid w:val="001642CA"/>
    <w:rsid w:val="00166B3D"/>
    <w:rsid w:val="00166EE6"/>
    <w:rsid w:val="00167294"/>
    <w:rsid w:val="00175237"/>
    <w:rsid w:val="00183CEE"/>
    <w:rsid w:val="00185368"/>
    <w:rsid w:val="00191B15"/>
    <w:rsid w:val="001935C3"/>
    <w:rsid w:val="00196A30"/>
    <w:rsid w:val="001A07E2"/>
    <w:rsid w:val="001A1C7F"/>
    <w:rsid w:val="001A3CEB"/>
    <w:rsid w:val="001A3F43"/>
    <w:rsid w:val="001A407C"/>
    <w:rsid w:val="001A5FDD"/>
    <w:rsid w:val="001A7B64"/>
    <w:rsid w:val="001B3829"/>
    <w:rsid w:val="001B4362"/>
    <w:rsid w:val="001C0B4C"/>
    <w:rsid w:val="001C6930"/>
    <w:rsid w:val="001C6BE3"/>
    <w:rsid w:val="001D3088"/>
    <w:rsid w:val="001D3A39"/>
    <w:rsid w:val="001D401F"/>
    <w:rsid w:val="001D6335"/>
    <w:rsid w:val="001D75B6"/>
    <w:rsid w:val="001E2BB4"/>
    <w:rsid w:val="001E79A2"/>
    <w:rsid w:val="001F1746"/>
    <w:rsid w:val="002166A6"/>
    <w:rsid w:val="002176AA"/>
    <w:rsid w:val="002279C4"/>
    <w:rsid w:val="00235F8C"/>
    <w:rsid w:val="00240A01"/>
    <w:rsid w:val="00240F0C"/>
    <w:rsid w:val="00242663"/>
    <w:rsid w:val="00242864"/>
    <w:rsid w:val="00247E66"/>
    <w:rsid w:val="00250572"/>
    <w:rsid w:val="00250602"/>
    <w:rsid w:val="00250AE4"/>
    <w:rsid w:val="00250C60"/>
    <w:rsid w:val="00250FD8"/>
    <w:rsid w:val="002521B0"/>
    <w:rsid w:val="002549CF"/>
    <w:rsid w:val="0025641F"/>
    <w:rsid w:val="00260CD7"/>
    <w:rsid w:val="00261B39"/>
    <w:rsid w:val="00264CBB"/>
    <w:rsid w:val="00265326"/>
    <w:rsid w:val="002706EA"/>
    <w:rsid w:val="002775EC"/>
    <w:rsid w:val="00280117"/>
    <w:rsid w:val="00280325"/>
    <w:rsid w:val="00282069"/>
    <w:rsid w:val="00283221"/>
    <w:rsid w:val="00290A5C"/>
    <w:rsid w:val="00293F30"/>
    <w:rsid w:val="002942BA"/>
    <w:rsid w:val="00295077"/>
    <w:rsid w:val="00296C01"/>
    <w:rsid w:val="002A0874"/>
    <w:rsid w:val="002B1C52"/>
    <w:rsid w:val="002B22B3"/>
    <w:rsid w:val="002B4EB4"/>
    <w:rsid w:val="002C1614"/>
    <w:rsid w:val="002C186A"/>
    <w:rsid w:val="002C2421"/>
    <w:rsid w:val="002C4470"/>
    <w:rsid w:val="002C7F8D"/>
    <w:rsid w:val="002D0AA4"/>
    <w:rsid w:val="002D29ED"/>
    <w:rsid w:val="002D3230"/>
    <w:rsid w:val="002D5F02"/>
    <w:rsid w:val="002D7311"/>
    <w:rsid w:val="002D74BC"/>
    <w:rsid w:val="002D74EB"/>
    <w:rsid w:val="002E0D84"/>
    <w:rsid w:val="002E162C"/>
    <w:rsid w:val="002E2642"/>
    <w:rsid w:val="002E571D"/>
    <w:rsid w:val="002F0CF1"/>
    <w:rsid w:val="00315FD3"/>
    <w:rsid w:val="00320A72"/>
    <w:rsid w:val="0032262E"/>
    <w:rsid w:val="00322D6C"/>
    <w:rsid w:val="00330B53"/>
    <w:rsid w:val="00333D4A"/>
    <w:rsid w:val="00335234"/>
    <w:rsid w:val="00343516"/>
    <w:rsid w:val="00344E37"/>
    <w:rsid w:val="0034684C"/>
    <w:rsid w:val="0034794B"/>
    <w:rsid w:val="003503A0"/>
    <w:rsid w:val="0035060B"/>
    <w:rsid w:val="00350BC6"/>
    <w:rsid w:val="003542E2"/>
    <w:rsid w:val="00364C85"/>
    <w:rsid w:val="00376A01"/>
    <w:rsid w:val="00380A62"/>
    <w:rsid w:val="0038131E"/>
    <w:rsid w:val="00382D56"/>
    <w:rsid w:val="003839B0"/>
    <w:rsid w:val="00385C97"/>
    <w:rsid w:val="00387FBD"/>
    <w:rsid w:val="003939A6"/>
    <w:rsid w:val="003A33F2"/>
    <w:rsid w:val="003A7C35"/>
    <w:rsid w:val="003B0E95"/>
    <w:rsid w:val="003B12B2"/>
    <w:rsid w:val="003B39BE"/>
    <w:rsid w:val="003B3DCA"/>
    <w:rsid w:val="003C50B2"/>
    <w:rsid w:val="003C5E91"/>
    <w:rsid w:val="003C60B8"/>
    <w:rsid w:val="003D0CB3"/>
    <w:rsid w:val="003D2E62"/>
    <w:rsid w:val="003E0331"/>
    <w:rsid w:val="003E538E"/>
    <w:rsid w:val="003E6774"/>
    <w:rsid w:val="003E789F"/>
    <w:rsid w:val="003F6DF4"/>
    <w:rsid w:val="003F71B4"/>
    <w:rsid w:val="003F7205"/>
    <w:rsid w:val="00400685"/>
    <w:rsid w:val="004031AF"/>
    <w:rsid w:val="00403E20"/>
    <w:rsid w:val="00406C48"/>
    <w:rsid w:val="0040775B"/>
    <w:rsid w:val="00410B8C"/>
    <w:rsid w:val="0041201B"/>
    <w:rsid w:val="00412CF0"/>
    <w:rsid w:val="00413DCD"/>
    <w:rsid w:val="0041563F"/>
    <w:rsid w:val="00417D41"/>
    <w:rsid w:val="004201ED"/>
    <w:rsid w:val="004210BE"/>
    <w:rsid w:val="00422C91"/>
    <w:rsid w:val="004251A0"/>
    <w:rsid w:val="00427ED5"/>
    <w:rsid w:val="00430680"/>
    <w:rsid w:val="00430D9B"/>
    <w:rsid w:val="00434EB9"/>
    <w:rsid w:val="00435871"/>
    <w:rsid w:val="00436C56"/>
    <w:rsid w:val="004371BB"/>
    <w:rsid w:val="00441F16"/>
    <w:rsid w:val="00444230"/>
    <w:rsid w:val="00444D07"/>
    <w:rsid w:val="00446B1A"/>
    <w:rsid w:val="004514C9"/>
    <w:rsid w:val="00451C38"/>
    <w:rsid w:val="00453175"/>
    <w:rsid w:val="00454552"/>
    <w:rsid w:val="004571A9"/>
    <w:rsid w:val="004607B9"/>
    <w:rsid w:val="00460DE1"/>
    <w:rsid w:val="00461468"/>
    <w:rsid w:val="004659F7"/>
    <w:rsid w:val="00466029"/>
    <w:rsid w:val="004714DA"/>
    <w:rsid w:val="00471ADB"/>
    <w:rsid w:val="00471B84"/>
    <w:rsid w:val="00471CEF"/>
    <w:rsid w:val="0047239D"/>
    <w:rsid w:val="004726F7"/>
    <w:rsid w:val="004764AD"/>
    <w:rsid w:val="00477B5A"/>
    <w:rsid w:val="00480C2C"/>
    <w:rsid w:val="00481DA7"/>
    <w:rsid w:val="00483CEA"/>
    <w:rsid w:val="00484186"/>
    <w:rsid w:val="00487989"/>
    <w:rsid w:val="00490AE8"/>
    <w:rsid w:val="00491106"/>
    <w:rsid w:val="004972B2"/>
    <w:rsid w:val="004A1020"/>
    <w:rsid w:val="004A1C22"/>
    <w:rsid w:val="004A28BA"/>
    <w:rsid w:val="004A3F94"/>
    <w:rsid w:val="004A6BED"/>
    <w:rsid w:val="004B6890"/>
    <w:rsid w:val="004B78C7"/>
    <w:rsid w:val="004C0FEE"/>
    <w:rsid w:val="004C298B"/>
    <w:rsid w:val="004C4AAE"/>
    <w:rsid w:val="004C4DA7"/>
    <w:rsid w:val="004D1D2E"/>
    <w:rsid w:val="004D3ACB"/>
    <w:rsid w:val="004F0EDB"/>
    <w:rsid w:val="004F6368"/>
    <w:rsid w:val="00500D49"/>
    <w:rsid w:val="00510639"/>
    <w:rsid w:val="00514DCA"/>
    <w:rsid w:val="005156FF"/>
    <w:rsid w:val="005179F2"/>
    <w:rsid w:val="00517B1F"/>
    <w:rsid w:val="00520B3D"/>
    <w:rsid w:val="00520DDC"/>
    <w:rsid w:val="00521E30"/>
    <w:rsid w:val="005358EC"/>
    <w:rsid w:val="00537F9B"/>
    <w:rsid w:val="00540176"/>
    <w:rsid w:val="00540905"/>
    <w:rsid w:val="00544A4D"/>
    <w:rsid w:val="00552A2A"/>
    <w:rsid w:val="005541AD"/>
    <w:rsid w:val="00556593"/>
    <w:rsid w:val="0056750D"/>
    <w:rsid w:val="005710E9"/>
    <w:rsid w:val="00572FDB"/>
    <w:rsid w:val="00573A87"/>
    <w:rsid w:val="00573F01"/>
    <w:rsid w:val="00580CD2"/>
    <w:rsid w:val="00581B76"/>
    <w:rsid w:val="005916F1"/>
    <w:rsid w:val="00592DD2"/>
    <w:rsid w:val="00593146"/>
    <w:rsid w:val="0059325E"/>
    <w:rsid w:val="005A2394"/>
    <w:rsid w:val="005A346A"/>
    <w:rsid w:val="005A7914"/>
    <w:rsid w:val="005C0C9F"/>
    <w:rsid w:val="005C1802"/>
    <w:rsid w:val="005C305A"/>
    <w:rsid w:val="005C33BC"/>
    <w:rsid w:val="005C4CFC"/>
    <w:rsid w:val="005C5296"/>
    <w:rsid w:val="005D2924"/>
    <w:rsid w:val="005D3743"/>
    <w:rsid w:val="005D49C7"/>
    <w:rsid w:val="005E5443"/>
    <w:rsid w:val="005E7D6D"/>
    <w:rsid w:val="005F029D"/>
    <w:rsid w:val="005F031B"/>
    <w:rsid w:val="005F1217"/>
    <w:rsid w:val="005F2FF1"/>
    <w:rsid w:val="005F5F59"/>
    <w:rsid w:val="005F5F87"/>
    <w:rsid w:val="005F7CA7"/>
    <w:rsid w:val="006014D0"/>
    <w:rsid w:val="00601D71"/>
    <w:rsid w:val="00601FC2"/>
    <w:rsid w:val="00604215"/>
    <w:rsid w:val="006061E1"/>
    <w:rsid w:val="006062C7"/>
    <w:rsid w:val="00606AEF"/>
    <w:rsid w:val="00607F8E"/>
    <w:rsid w:val="006126F1"/>
    <w:rsid w:val="00614431"/>
    <w:rsid w:val="00615E6D"/>
    <w:rsid w:val="00623808"/>
    <w:rsid w:val="0062767A"/>
    <w:rsid w:val="00630BF4"/>
    <w:rsid w:val="006320C6"/>
    <w:rsid w:val="00635113"/>
    <w:rsid w:val="00644EA8"/>
    <w:rsid w:val="00650484"/>
    <w:rsid w:val="00651729"/>
    <w:rsid w:val="00657D57"/>
    <w:rsid w:val="00661C1C"/>
    <w:rsid w:val="006625E8"/>
    <w:rsid w:val="00664393"/>
    <w:rsid w:val="006652B9"/>
    <w:rsid w:val="00672E3B"/>
    <w:rsid w:val="00673012"/>
    <w:rsid w:val="00674984"/>
    <w:rsid w:val="00674E93"/>
    <w:rsid w:val="006761BA"/>
    <w:rsid w:val="00682B21"/>
    <w:rsid w:val="006840F9"/>
    <w:rsid w:val="00686385"/>
    <w:rsid w:val="006936D4"/>
    <w:rsid w:val="00693F5A"/>
    <w:rsid w:val="00694B05"/>
    <w:rsid w:val="00697221"/>
    <w:rsid w:val="006A347B"/>
    <w:rsid w:val="006A4776"/>
    <w:rsid w:val="006A5119"/>
    <w:rsid w:val="006A7DB6"/>
    <w:rsid w:val="006B3545"/>
    <w:rsid w:val="006B4CE5"/>
    <w:rsid w:val="006B5C43"/>
    <w:rsid w:val="006C04B8"/>
    <w:rsid w:val="006C2DB5"/>
    <w:rsid w:val="006C4950"/>
    <w:rsid w:val="006D5B49"/>
    <w:rsid w:val="006E179B"/>
    <w:rsid w:val="006E3312"/>
    <w:rsid w:val="006E44D2"/>
    <w:rsid w:val="006E5DB6"/>
    <w:rsid w:val="006F7C67"/>
    <w:rsid w:val="00700C10"/>
    <w:rsid w:val="00700E2E"/>
    <w:rsid w:val="00702F09"/>
    <w:rsid w:val="0070307F"/>
    <w:rsid w:val="00705F79"/>
    <w:rsid w:val="007115BE"/>
    <w:rsid w:val="00712982"/>
    <w:rsid w:val="007133D4"/>
    <w:rsid w:val="0071598C"/>
    <w:rsid w:val="00717CC6"/>
    <w:rsid w:val="00720850"/>
    <w:rsid w:val="00723E8C"/>
    <w:rsid w:val="007270CA"/>
    <w:rsid w:val="00731302"/>
    <w:rsid w:val="00735758"/>
    <w:rsid w:val="00741398"/>
    <w:rsid w:val="00746443"/>
    <w:rsid w:val="00747EB2"/>
    <w:rsid w:val="0075182D"/>
    <w:rsid w:val="007542D4"/>
    <w:rsid w:val="00755154"/>
    <w:rsid w:val="0076069F"/>
    <w:rsid w:val="00763C6F"/>
    <w:rsid w:val="00764831"/>
    <w:rsid w:val="00765DD4"/>
    <w:rsid w:val="00765ED3"/>
    <w:rsid w:val="0076659D"/>
    <w:rsid w:val="00771E63"/>
    <w:rsid w:val="00773E6A"/>
    <w:rsid w:val="00774F3A"/>
    <w:rsid w:val="00775446"/>
    <w:rsid w:val="0079452C"/>
    <w:rsid w:val="007956B1"/>
    <w:rsid w:val="00795CFE"/>
    <w:rsid w:val="007A0DFD"/>
    <w:rsid w:val="007A1353"/>
    <w:rsid w:val="007A2289"/>
    <w:rsid w:val="007A4031"/>
    <w:rsid w:val="007A4DBD"/>
    <w:rsid w:val="007A57FF"/>
    <w:rsid w:val="007B1FAC"/>
    <w:rsid w:val="007B33B5"/>
    <w:rsid w:val="007B4BA9"/>
    <w:rsid w:val="007B5107"/>
    <w:rsid w:val="007C1D13"/>
    <w:rsid w:val="007C44D3"/>
    <w:rsid w:val="007C7A26"/>
    <w:rsid w:val="007D002B"/>
    <w:rsid w:val="007D4ABA"/>
    <w:rsid w:val="007D609C"/>
    <w:rsid w:val="007D7715"/>
    <w:rsid w:val="007E068E"/>
    <w:rsid w:val="007F01E7"/>
    <w:rsid w:val="007F078A"/>
    <w:rsid w:val="007F0B54"/>
    <w:rsid w:val="007F5B1A"/>
    <w:rsid w:val="007F6915"/>
    <w:rsid w:val="007F7BDB"/>
    <w:rsid w:val="00802DFD"/>
    <w:rsid w:val="0080489E"/>
    <w:rsid w:val="00804D8C"/>
    <w:rsid w:val="00807F7F"/>
    <w:rsid w:val="00810D20"/>
    <w:rsid w:val="00814E9E"/>
    <w:rsid w:val="00824F5F"/>
    <w:rsid w:val="0082577A"/>
    <w:rsid w:val="00825ECF"/>
    <w:rsid w:val="00830B67"/>
    <w:rsid w:val="00831F4D"/>
    <w:rsid w:val="008345E3"/>
    <w:rsid w:val="008360FD"/>
    <w:rsid w:val="00836A2B"/>
    <w:rsid w:val="00844BE4"/>
    <w:rsid w:val="00845C84"/>
    <w:rsid w:val="00851077"/>
    <w:rsid w:val="00852BAD"/>
    <w:rsid w:val="00853A10"/>
    <w:rsid w:val="008612FB"/>
    <w:rsid w:val="00864CF9"/>
    <w:rsid w:val="00866411"/>
    <w:rsid w:val="00875624"/>
    <w:rsid w:val="00876065"/>
    <w:rsid w:val="00880911"/>
    <w:rsid w:val="008877CB"/>
    <w:rsid w:val="008916EF"/>
    <w:rsid w:val="00891723"/>
    <w:rsid w:val="00891765"/>
    <w:rsid w:val="008924FB"/>
    <w:rsid w:val="00896353"/>
    <w:rsid w:val="00896359"/>
    <w:rsid w:val="00896644"/>
    <w:rsid w:val="008A165E"/>
    <w:rsid w:val="008A6893"/>
    <w:rsid w:val="008A6907"/>
    <w:rsid w:val="008B0B86"/>
    <w:rsid w:val="008B14F7"/>
    <w:rsid w:val="008B7150"/>
    <w:rsid w:val="008C65C2"/>
    <w:rsid w:val="008D57C5"/>
    <w:rsid w:val="008D7F54"/>
    <w:rsid w:val="008E1C60"/>
    <w:rsid w:val="008E2772"/>
    <w:rsid w:val="008E44DE"/>
    <w:rsid w:val="008F06CD"/>
    <w:rsid w:val="008F1C11"/>
    <w:rsid w:val="008F2631"/>
    <w:rsid w:val="008F34C4"/>
    <w:rsid w:val="008F3868"/>
    <w:rsid w:val="009015D4"/>
    <w:rsid w:val="00902537"/>
    <w:rsid w:val="009202C0"/>
    <w:rsid w:val="00923BDC"/>
    <w:rsid w:val="00926F66"/>
    <w:rsid w:val="0093179F"/>
    <w:rsid w:val="009318AA"/>
    <w:rsid w:val="009324D4"/>
    <w:rsid w:val="00932F87"/>
    <w:rsid w:val="00935B4A"/>
    <w:rsid w:val="00944447"/>
    <w:rsid w:val="009465BA"/>
    <w:rsid w:val="00955633"/>
    <w:rsid w:val="00962375"/>
    <w:rsid w:val="00962750"/>
    <w:rsid w:val="00963111"/>
    <w:rsid w:val="00963A19"/>
    <w:rsid w:val="00965719"/>
    <w:rsid w:val="00967B9E"/>
    <w:rsid w:val="00972EF7"/>
    <w:rsid w:val="00973AD1"/>
    <w:rsid w:val="009809BC"/>
    <w:rsid w:val="00984B52"/>
    <w:rsid w:val="00985243"/>
    <w:rsid w:val="00985404"/>
    <w:rsid w:val="0098690E"/>
    <w:rsid w:val="00994DCF"/>
    <w:rsid w:val="00995C5C"/>
    <w:rsid w:val="00996D6B"/>
    <w:rsid w:val="00997E05"/>
    <w:rsid w:val="009A06EC"/>
    <w:rsid w:val="009A0AF6"/>
    <w:rsid w:val="009A2075"/>
    <w:rsid w:val="009A330F"/>
    <w:rsid w:val="009A3BE0"/>
    <w:rsid w:val="009A749F"/>
    <w:rsid w:val="009B2957"/>
    <w:rsid w:val="009B369B"/>
    <w:rsid w:val="009B5515"/>
    <w:rsid w:val="009B757E"/>
    <w:rsid w:val="009C2EFD"/>
    <w:rsid w:val="009C4DD4"/>
    <w:rsid w:val="009C6544"/>
    <w:rsid w:val="009D3290"/>
    <w:rsid w:val="009D539C"/>
    <w:rsid w:val="009E1ED0"/>
    <w:rsid w:val="009E2717"/>
    <w:rsid w:val="009E2DD8"/>
    <w:rsid w:val="009E2F4D"/>
    <w:rsid w:val="009E3B17"/>
    <w:rsid w:val="009E4DD6"/>
    <w:rsid w:val="009E7B55"/>
    <w:rsid w:val="009E7D09"/>
    <w:rsid w:val="009F0BBC"/>
    <w:rsid w:val="009F2694"/>
    <w:rsid w:val="009F6123"/>
    <w:rsid w:val="00A00231"/>
    <w:rsid w:val="00A053D3"/>
    <w:rsid w:val="00A05722"/>
    <w:rsid w:val="00A05895"/>
    <w:rsid w:val="00A10744"/>
    <w:rsid w:val="00A1187A"/>
    <w:rsid w:val="00A11FC6"/>
    <w:rsid w:val="00A143D3"/>
    <w:rsid w:val="00A1653D"/>
    <w:rsid w:val="00A250ED"/>
    <w:rsid w:val="00A277B4"/>
    <w:rsid w:val="00A306D4"/>
    <w:rsid w:val="00A42DF8"/>
    <w:rsid w:val="00A4384A"/>
    <w:rsid w:val="00A448D5"/>
    <w:rsid w:val="00A46589"/>
    <w:rsid w:val="00A475FB"/>
    <w:rsid w:val="00A52098"/>
    <w:rsid w:val="00A52BEA"/>
    <w:rsid w:val="00A53277"/>
    <w:rsid w:val="00A56AB7"/>
    <w:rsid w:val="00A64308"/>
    <w:rsid w:val="00A64B63"/>
    <w:rsid w:val="00A65370"/>
    <w:rsid w:val="00A679CB"/>
    <w:rsid w:val="00A73251"/>
    <w:rsid w:val="00A769C6"/>
    <w:rsid w:val="00A802E4"/>
    <w:rsid w:val="00A80AB7"/>
    <w:rsid w:val="00A8241D"/>
    <w:rsid w:val="00A863D4"/>
    <w:rsid w:val="00A875A2"/>
    <w:rsid w:val="00A91270"/>
    <w:rsid w:val="00A96A0F"/>
    <w:rsid w:val="00A96D81"/>
    <w:rsid w:val="00A96DE6"/>
    <w:rsid w:val="00AA4300"/>
    <w:rsid w:val="00AA52BA"/>
    <w:rsid w:val="00AB01F6"/>
    <w:rsid w:val="00AB21DB"/>
    <w:rsid w:val="00AB5141"/>
    <w:rsid w:val="00AB7A64"/>
    <w:rsid w:val="00AC337B"/>
    <w:rsid w:val="00AC61F5"/>
    <w:rsid w:val="00AC64E8"/>
    <w:rsid w:val="00AC6A78"/>
    <w:rsid w:val="00AC7441"/>
    <w:rsid w:val="00AC79B2"/>
    <w:rsid w:val="00AD4AD0"/>
    <w:rsid w:val="00AD4F61"/>
    <w:rsid w:val="00AD7384"/>
    <w:rsid w:val="00AE205D"/>
    <w:rsid w:val="00AE3F12"/>
    <w:rsid w:val="00AE4305"/>
    <w:rsid w:val="00AF4DDC"/>
    <w:rsid w:val="00AF62C7"/>
    <w:rsid w:val="00AF7AE2"/>
    <w:rsid w:val="00B03799"/>
    <w:rsid w:val="00B043C0"/>
    <w:rsid w:val="00B14889"/>
    <w:rsid w:val="00B248FA"/>
    <w:rsid w:val="00B27C08"/>
    <w:rsid w:val="00B27D25"/>
    <w:rsid w:val="00B32CA0"/>
    <w:rsid w:val="00B349F8"/>
    <w:rsid w:val="00B4182E"/>
    <w:rsid w:val="00B5560C"/>
    <w:rsid w:val="00B56655"/>
    <w:rsid w:val="00B5667A"/>
    <w:rsid w:val="00B602F6"/>
    <w:rsid w:val="00B70E76"/>
    <w:rsid w:val="00B71509"/>
    <w:rsid w:val="00B715F1"/>
    <w:rsid w:val="00B7315D"/>
    <w:rsid w:val="00B8107F"/>
    <w:rsid w:val="00B82503"/>
    <w:rsid w:val="00B83E5A"/>
    <w:rsid w:val="00B85E3B"/>
    <w:rsid w:val="00B86E92"/>
    <w:rsid w:val="00B8797D"/>
    <w:rsid w:val="00B9232A"/>
    <w:rsid w:val="00B93483"/>
    <w:rsid w:val="00B95163"/>
    <w:rsid w:val="00B96C9E"/>
    <w:rsid w:val="00B96FE3"/>
    <w:rsid w:val="00BA4DC2"/>
    <w:rsid w:val="00BA5D22"/>
    <w:rsid w:val="00BB0196"/>
    <w:rsid w:val="00BB09E4"/>
    <w:rsid w:val="00BB5648"/>
    <w:rsid w:val="00BD03C8"/>
    <w:rsid w:val="00BD0562"/>
    <w:rsid w:val="00BD09C6"/>
    <w:rsid w:val="00BD102D"/>
    <w:rsid w:val="00BD21D1"/>
    <w:rsid w:val="00BD5441"/>
    <w:rsid w:val="00BD7EDC"/>
    <w:rsid w:val="00BE1053"/>
    <w:rsid w:val="00BE68C2"/>
    <w:rsid w:val="00BF0B10"/>
    <w:rsid w:val="00BF2D4B"/>
    <w:rsid w:val="00BF51AA"/>
    <w:rsid w:val="00C029E8"/>
    <w:rsid w:val="00C04C35"/>
    <w:rsid w:val="00C06672"/>
    <w:rsid w:val="00C124F3"/>
    <w:rsid w:val="00C131A9"/>
    <w:rsid w:val="00C13E75"/>
    <w:rsid w:val="00C20913"/>
    <w:rsid w:val="00C3168A"/>
    <w:rsid w:val="00C3305F"/>
    <w:rsid w:val="00C33CC5"/>
    <w:rsid w:val="00C33FB9"/>
    <w:rsid w:val="00C34D4A"/>
    <w:rsid w:val="00C3520E"/>
    <w:rsid w:val="00C37B93"/>
    <w:rsid w:val="00C4076A"/>
    <w:rsid w:val="00C41098"/>
    <w:rsid w:val="00C43DA0"/>
    <w:rsid w:val="00C443AD"/>
    <w:rsid w:val="00C50FCF"/>
    <w:rsid w:val="00C512D7"/>
    <w:rsid w:val="00C56567"/>
    <w:rsid w:val="00C571FB"/>
    <w:rsid w:val="00C637F6"/>
    <w:rsid w:val="00C638A8"/>
    <w:rsid w:val="00C64916"/>
    <w:rsid w:val="00C7060E"/>
    <w:rsid w:val="00C70FC9"/>
    <w:rsid w:val="00C71391"/>
    <w:rsid w:val="00C75EF4"/>
    <w:rsid w:val="00C823D3"/>
    <w:rsid w:val="00C8256C"/>
    <w:rsid w:val="00C83E65"/>
    <w:rsid w:val="00C90A36"/>
    <w:rsid w:val="00C9267C"/>
    <w:rsid w:val="00C93302"/>
    <w:rsid w:val="00C935D2"/>
    <w:rsid w:val="00C95814"/>
    <w:rsid w:val="00C95901"/>
    <w:rsid w:val="00C965F5"/>
    <w:rsid w:val="00C97CD2"/>
    <w:rsid w:val="00CA54F0"/>
    <w:rsid w:val="00CA5FD6"/>
    <w:rsid w:val="00CB7816"/>
    <w:rsid w:val="00CC6169"/>
    <w:rsid w:val="00CC77D3"/>
    <w:rsid w:val="00CD02EE"/>
    <w:rsid w:val="00CD12E0"/>
    <w:rsid w:val="00CD17EC"/>
    <w:rsid w:val="00CD297E"/>
    <w:rsid w:val="00CD2DCA"/>
    <w:rsid w:val="00CD38C2"/>
    <w:rsid w:val="00CE0ED8"/>
    <w:rsid w:val="00CE1CE6"/>
    <w:rsid w:val="00CF0DE7"/>
    <w:rsid w:val="00CF29AD"/>
    <w:rsid w:val="00CF7581"/>
    <w:rsid w:val="00CF7E26"/>
    <w:rsid w:val="00D02D0E"/>
    <w:rsid w:val="00D1080C"/>
    <w:rsid w:val="00D12AFB"/>
    <w:rsid w:val="00D2018E"/>
    <w:rsid w:val="00D21F87"/>
    <w:rsid w:val="00D2316C"/>
    <w:rsid w:val="00D231E1"/>
    <w:rsid w:val="00D2519A"/>
    <w:rsid w:val="00D2666C"/>
    <w:rsid w:val="00D26D94"/>
    <w:rsid w:val="00D34099"/>
    <w:rsid w:val="00D37C55"/>
    <w:rsid w:val="00D41B16"/>
    <w:rsid w:val="00D4768D"/>
    <w:rsid w:val="00D51C7E"/>
    <w:rsid w:val="00D53654"/>
    <w:rsid w:val="00D54437"/>
    <w:rsid w:val="00D54F0E"/>
    <w:rsid w:val="00D62F3E"/>
    <w:rsid w:val="00D646FB"/>
    <w:rsid w:val="00D6513E"/>
    <w:rsid w:val="00D657E3"/>
    <w:rsid w:val="00D65FE7"/>
    <w:rsid w:val="00D678E3"/>
    <w:rsid w:val="00D7151B"/>
    <w:rsid w:val="00D71E83"/>
    <w:rsid w:val="00D74A9E"/>
    <w:rsid w:val="00D7652C"/>
    <w:rsid w:val="00D802EB"/>
    <w:rsid w:val="00D81B1D"/>
    <w:rsid w:val="00D830D1"/>
    <w:rsid w:val="00D8386D"/>
    <w:rsid w:val="00D84810"/>
    <w:rsid w:val="00D86126"/>
    <w:rsid w:val="00D8696E"/>
    <w:rsid w:val="00D87768"/>
    <w:rsid w:val="00D91763"/>
    <w:rsid w:val="00D9631F"/>
    <w:rsid w:val="00DA463B"/>
    <w:rsid w:val="00DA6C0C"/>
    <w:rsid w:val="00DB0CAA"/>
    <w:rsid w:val="00DB156B"/>
    <w:rsid w:val="00DB188F"/>
    <w:rsid w:val="00DB1AA8"/>
    <w:rsid w:val="00DB52FF"/>
    <w:rsid w:val="00DB5E10"/>
    <w:rsid w:val="00DB7576"/>
    <w:rsid w:val="00DC01D2"/>
    <w:rsid w:val="00DC36A7"/>
    <w:rsid w:val="00DD29ED"/>
    <w:rsid w:val="00DD3DAE"/>
    <w:rsid w:val="00DD55D1"/>
    <w:rsid w:val="00DE0560"/>
    <w:rsid w:val="00DE1BFF"/>
    <w:rsid w:val="00DE2792"/>
    <w:rsid w:val="00DE29C6"/>
    <w:rsid w:val="00DE5DA1"/>
    <w:rsid w:val="00DE6853"/>
    <w:rsid w:val="00DF115F"/>
    <w:rsid w:val="00DF57B3"/>
    <w:rsid w:val="00E05656"/>
    <w:rsid w:val="00E07D58"/>
    <w:rsid w:val="00E141C0"/>
    <w:rsid w:val="00E14BB8"/>
    <w:rsid w:val="00E1624F"/>
    <w:rsid w:val="00E17FA1"/>
    <w:rsid w:val="00E2128F"/>
    <w:rsid w:val="00E22D4B"/>
    <w:rsid w:val="00E24CC1"/>
    <w:rsid w:val="00E25345"/>
    <w:rsid w:val="00E25B2F"/>
    <w:rsid w:val="00E263D9"/>
    <w:rsid w:val="00E27D8A"/>
    <w:rsid w:val="00E30E86"/>
    <w:rsid w:val="00E31A73"/>
    <w:rsid w:val="00E3284A"/>
    <w:rsid w:val="00E36C5E"/>
    <w:rsid w:val="00E41315"/>
    <w:rsid w:val="00E41BE3"/>
    <w:rsid w:val="00E420AB"/>
    <w:rsid w:val="00E47E63"/>
    <w:rsid w:val="00E64ED7"/>
    <w:rsid w:val="00E653B7"/>
    <w:rsid w:val="00E67660"/>
    <w:rsid w:val="00E7158A"/>
    <w:rsid w:val="00E8520B"/>
    <w:rsid w:val="00E85CCB"/>
    <w:rsid w:val="00E9069D"/>
    <w:rsid w:val="00E96504"/>
    <w:rsid w:val="00E975EF"/>
    <w:rsid w:val="00EA036F"/>
    <w:rsid w:val="00EA0AF0"/>
    <w:rsid w:val="00EA0F81"/>
    <w:rsid w:val="00EA6256"/>
    <w:rsid w:val="00EA6380"/>
    <w:rsid w:val="00EA6E9E"/>
    <w:rsid w:val="00EA7941"/>
    <w:rsid w:val="00EC10C5"/>
    <w:rsid w:val="00ED4793"/>
    <w:rsid w:val="00ED5A14"/>
    <w:rsid w:val="00ED7D35"/>
    <w:rsid w:val="00EE183B"/>
    <w:rsid w:val="00EE1EB7"/>
    <w:rsid w:val="00EE6093"/>
    <w:rsid w:val="00EE6320"/>
    <w:rsid w:val="00EF1463"/>
    <w:rsid w:val="00EF59F7"/>
    <w:rsid w:val="00EF69BD"/>
    <w:rsid w:val="00F0251D"/>
    <w:rsid w:val="00F03770"/>
    <w:rsid w:val="00F07E71"/>
    <w:rsid w:val="00F12AD0"/>
    <w:rsid w:val="00F14CDE"/>
    <w:rsid w:val="00F1556E"/>
    <w:rsid w:val="00F20E1A"/>
    <w:rsid w:val="00F218EA"/>
    <w:rsid w:val="00F25684"/>
    <w:rsid w:val="00F30C6C"/>
    <w:rsid w:val="00F30FC5"/>
    <w:rsid w:val="00F36797"/>
    <w:rsid w:val="00F37023"/>
    <w:rsid w:val="00F431F3"/>
    <w:rsid w:val="00F43223"/>
    <w:rsid w:val="00F438EE"/>
    <w:rsid w:val="00F43C2D"/>
    <w:rsid w:val="00F441DF"/>
    <w:rsid w:val="00F46284"/>
    <w:rsid w:val="00F52FDA"/>
    <w:rsid w:val="00F53B9F"/>
    <w:rsid w:val="00F53F59"/>
    <w:rsid w:val="00F555E7"/>
    <w:rsid w:val="00F62B72"/>
    <w:rsid w:val="00F64BDB"/>
    <w:rsid w:val="00F76CFE"/>
    <w:rsid w:val="00F77C61"/>
    <w:rsid w:val="00F80076"/>
    <w:rsid w:val="00F836FF"/>
    <w:rsid w:val="00F8611B"/>
    <w:rsid w:val="00F86833"/>
    <w:rsid w:val="00F94E35"/>
    <w:rsid w:val="00FA28AB"/>
    <w:rsid w:val="00FA465D"/>
    <w:rsid w:val="00FA6E3C"/>
    <w:rsid w:val="00FA7E5F"/>
    <w:rsid w:val="00FB37A6"/>
    <w:rsid w:val="00FB5B0E"/>
    <w:rsid w:val="00FB7735"/>
    <w:rsid w:val="00FC285D"/>
    <w:rsid w:val="00FC504F"/>
    <w:rsid w:val="00FC7C80"/>
    <w:rsid w:val="00FD01DB"/>
    <w:rsid w:val="00FD1554"/>
    <w:rsid w:val="00FD2AEA"/>
    <w:rsid w:val="00FD71C8"/>
    <w:rsid w:val="00FE0E06"/>
    <w:rsid w:val="00FE25A3"/>
    <w:rsid w:val="00FE3E93"/>
    <w:rsid w:val="00FE4694"/>
    <w:rsid w:val="00FE62A8"/>
    <w:rsid w:val="00FE7A36"/>
    <w:rsid w:val="00FF1E84"/>
    <w:rsid w:val="00FF2548"/>
    <w:rsid w:val="00FF2DE0"/>
    <w:rsid w:val="00FF3BE5"/>
    <w:rsid w:val="00FF4820"/>
    <w:rsid w:val="00FF4C95"/>
    <w:rsid w:val="00FF7350"/>
    <w:rsid w:val="014B16E2"/>
    <w:rsid w:val="015F51C9"/>
    <w:rsid w:val="01C710ED"/>
    <w:rsid w:val="01F82835"/>
    <w:rsid w:val="01FA091E"/>
    <w:rsid w:val="023370AE"/>
    <w:rsid w:val="027A321B"/>
    <w:rsid w:val="02884BAE"/>
    <w:rsid w:val="02F63C9D"/>
    <w:rsid w:val="03015719"/>
    <w:rsid w:val="03361A03"/>
    <w:rsid w:val="033D2829"/>
    <w:rsid w:val="034621EC"/>
    <w:rsid w:val="034F0B7A"/>
    <w:rsid w:val="03624168"/>
    <w:rsid w:val="03801D78"/>
    <w:rsid w:val="038B4F44"/>
    <w:rsid w:val="03983D79"/>
    <w:rsid w:val="03BD6575"/>
    <w:rsid w:val="0405748B"/>
    <w:rsid w:val="040B4BDB"/>
    <w:rsid w:val="04675F49"/>
    <w:rsid w:val="048031B8"/>
    <w:rsid w:val="04A74D9F"/>
    <w:rsid w:val="04D470FD"/>
    <w:rsid w:val="04DA1082"/>
    <w:rsid w:val="04EF17AF"/>
    <w:rsid w:val="04EF2134"/>
    <w:rsid w:val="050A24A7"/>
    <w:rsid w:val="051124F4"/>
    <w:rsid w:val="057A571F"/>
    <w:rsid w:val="0596006B"/>
    <w:rsid w:val="05B6372D"/>
    <w:rsid w:val="05D5400D"/>
    <w:rsid w:val="0607573C"/>
    <w:rsid w:val="060D19C1"/>
    <w:rsid w:val="062747FA"/>
    <w:rsid w:val="06625D0F"/>
    <w:rsid w:val="06907F35"/>
    <w:rsid w:val="070763D0"/>
    <w:rsid w:val="074011ED"/>
    <w:rsid w:val="07425F49"/>
    <w:rsid w:val="07693D76"/>
    <w:rsid w:val="07764F2E"/>
    <w:rsid w:val="077A7263"/>
    <w:rsid w:val="07835E66"/>
    <w:rsid w:val="07F345D4"/>
    <w:rsid w:val="0825260A"/>
    <w:rsid w:val="087053E7"/>
    <w:rsid w:val="08E96DAE"/>
    <w:rsid w:val="08EB2041"/>
    <w:rsid w:val="08EF2579"/>
    <w:rsid w:val="0906470F"/>
    <w:rsid w:val="093D1475"/>
    <w:rsid w:val="0956020A"/>
    <w:rsid w:val="09567175"/>
    <w:rsid w:val="09653560"/>
    <w:rsid w:val="098B118B"/>
    <w:rsid w:val="09A777B0"/>
    <w:rsid w:val="09BB5D90"/>
    <w:rsid w:val="09D03BB6"/>
    <w:rsid w:val="09DB4D10"/>
    <w:rsid w:val="0A04213F"/>
    <w:rsid w:val="0A696978"/>
    <w:rsid w:val="0A8F57B5"/>
    <w:rsid w:val="0AE3035D"/>
    <w:rsid w:val="0AE60C55"/>
    <w:rsid w:val="0B330247"/>
    <w:rsid w:val="0B3B3613"/>
    <w:rsid w:val="0B3F3B49"/>
    <w:rsid w:val="0B57681E"/>
    <w:rsid w:val="0B6D60B1"/>
    <w:rsid w:val="0BA023B3"/>
    <w:rsid w:val="0BC87E2D"/>
    <w:rsid w:val="0C1251BE"/>
    <w:rsid w:val="0C202FFF"/>
    <w:rsid w:val="0C5878C8"/>
    <w:rsid w:val="0C7E2939"/>
    <w:rsid w:val="0CBD063B"/>
    <w:rsid w:val="0CC41AD7"/>
    <w:rsid w:val="0CD80FB6"/>
    <w:rsid w:val="0D4E3869"/>
    <w:rsid w:val="0D6A6996"/>
    <w:rsid w:val="0D9B656A"/>
    <w:rsid w:val="0DCF2488"/>
    <w:rsid w:val="0DE61372"/>
    <w:rsid w:val="0DFF54C7"/>
    <w:rsid w:val="0E1C519B"/>
    <w:rsid w:val="0E3439C6"/>
    <w:rsid w:val="0E612A27"/>
    <w:rsid w:val="0E6A68B5"/>
    <w:rsid w:val="0E975E5C"/>
    <w:rsid w:val="0EAC6B76"/>
    <w:rsid w:val="0EB86848"/>
    <w:rsid w:val="0EC95506"/>
    <w:rsid w:val="0EF13627"/>
    <w:rsid w:val="0EF34AB0"/>
    <w:rsid w:val="0F1C5D4B"/>
    <w:rsid w:val="0F503CB0"/>
    <w:rsid w:val="0F7D25CB"/>
    <w:rsid w:val="0F9A2E10"/>
    <w:rsid w:val="0FE45F8C"/>
    <w:rsid w:val="10320A81"/>
    <w:rsid w:val="10364649"/>
    <w:rsid w:val="10505F32"/>
    <w:rsid w:val="106E4ED0"/>
    <w:rsid w:val="10AA0ABE"/>
    <w:rsid w:val="10CE463A"/>
    <w:rsid w:val="10CF312D"/>
    <w:rsid w:val="10DB11EC"/>
    <w:rsid w:val="10DE243C"/>
    <w:rsid w:val="10E213DB"/>
    <w:rsid w:val="10E24DDC"/>
    <w:rsid w:val="110A4333"/>
    <w:rsid w:val="111F57B0"/>
    <w:rsid w:val="118B13A1"/>
    <w:rsid w:val="11C91194"/>
    <w:rsid w:val="11DA7614"/>
    <w:rsid w:val="11E42DD6"/>
    <w:rsid w:val="11FE100A"/>
    <w:rsid w:val="12004109"/>
    <w:rsid w:val="12077D9D"/>
    <w:rsid w:val="120B02CB"/>
    <w:rsid w:val="12190EAE"/>
    <w:rsid w:val="12201EFD"/>
    <w:rsid w:val="12382409"/>
    <w:rsid w:val="126C4456"/>
    <w:rsid w:val="12937632"/>
    <w:rsid w:val="129F0512"/>
    <w:rsid w:val="12A97E93"/>
    <w:rsid w:val="12CB0F56"/>
    <w:rsid w:val="12D53FBB"/>
    <w:rsid w:val="12DB5F76"/>
    <w:rsid w:val="12EF2ADB"/>
    <w:rsid w:val="13303690"/>
    <w:rsid w:val="13546462"/>
    <w:rsid w:val="13971EA5"/>
    <w:rsid w:val="13996D25"/>
    <w:rsid w:val="139B7298"/>
    <w:rsid w:val="13C77E47"/>
    <w:rsid w:val="13E25485"/>
    <w:rsid w:val="146C663E"/>
    <w:rsid w:val="14B33E66"/>
    <w:rsid w:val="14CD7B51"/>
    <w:rsid w:val="14FA3792"/>
    <w:rsid w:val="150A3250"/>
    <w:rsid w:val="15212712"/>
    <w:rsid w:val="15261CD5"/>
    <w:rsid w:val="153C0833"/>
    <w:rsid w:val="15710FAD"/>
    <w:rsid w:val="158604EF"/>
    <w:rsid w:val="158C35B1"/>
    <w:rsid w:val="15C356A1"/>
    <w:rsid w:val="15F936FA"/>
    <w:rsid w:val="1605053E"/>
    <w:rsid w:val="1605220A"/>
    <w:rsid w:val="16275260"/>
    <w:rsid w:val="16A44B8D"/>
    <w:rsid w:val="170E0322"/>
    <w:rsid w:val="17684604"/>
    <w:rsid w:val="17917158"/>
    <w:rsid w:val="17B304B8"/>
    <w:rsid w:val="17C92852"/>
    <w:rsid w:val="17D05223"/>
    <w:rsid w:val="17DF02C7"/>
    <w:rsid w:val="17E42B0E"/>
    <w:rsid w:val="17E770A5"/>
    <w:rsid w:val="18063038"/>
    <w:rsid w:val="184451FD"/>
    <w:rsid w:val="18D40FFB"/>
    <w:rsid w:val="19260C43"/>
    <w:rsid w:val="195F507B"/>
    <w:rsid w:val="19DB1810"/>
    <w:rsid w:val="19E47AB4"/>
    <w:rsid w:val="19F6176C"/>
    <w:rsid w:val="1A5D13CD"/>
    <w:rsid w:val="1A630344"/>
    <w:rsid w:val="1A732877"/>
    <w:rsid w:val="1A7558AF"/>
    <w:rsid w:val="1A7A1A5B"/>
    <w:rsid w:val="1AAD540E"/>
    <w:rsid w:val="1B1014EA"/>
    <w:rsid w:val="1B8B0155"/>
    <w:rsid w:val="1BCC6440"/>
    <w:rsid w:val="1C1A225B"/>
    <w:rsid w:val="1C6F78C5"/>
    <w:rsid w:val="1C7F7040"/>
    <w:rsid w:val="1CA524A4"/>
    <w:rsid w:val="1CB35EDD"/>
    <w:rsid w:val="1D4E1256"/>
    <w:rsid w:val="1D666D95"/>
    <w:rsid w:val="1D90796E"/>
    <w:rsid w:val="1D9B4CB1"/>
    <w:rsid w:val="1DFD7EF6"/>
    <w:rsid w:val="1E0E2270"/>
    <w:rsid w:val="1E6E5EB7"/>
    <w:rsid w:val="1E7F2185"/>
    <w:rsid w:val="1E866F4B"/>
    <w:rsid w:val="1E9B3372"/>
    <w:rsid w:val="1EA94193"/>
    <w:rsid w:val="1F3B9487"/>
    <w:rsid w:val="1F47643E"/>
    <w:rsid w:val="1F4C1080"/>
    <w:rsid w:val="1F5E1B9F"/>
    <w:rsid w:val="1FDC0272"/>
    <w:rsid w:val="20085C1E"/>
    <w:rsid w:val="203020C7"/>
    <w:rsid w:val="20650FE2"/>
    <w:rsid w:val="20955058"/>
    <w:rsid w:val="20BB7250"/>
    <w:rsid w:val="20D174C7"/>
    <w:rsid w:val="210B3EDB"/>
    <w:rsid w:val="21AB0568"/>
    <w:rsid w:val="21AE10F7"/>
    <w:rsid w:val="21B13577"/>
    <w:rsid w:val="21BA1814"/>
    <w:rsid w:val="21D37685"/>
    <w:rsid w:val="21DC7625"/>
    <w:rsid w:val="22401503"/>
    <w:rsid w:val="2260480F"/>
    <w:rsid w:val="226B408F"/>
    <w:rsid w:val="226E2973"/>
    <w:rsid w:val="2277734E"/>
    <w:rsid w:val="228925D7"/>
    <w:rsid w:val="2290168C"/>
    <w:rsid w:val="229461B4"/>
    <w:rsid w:val="22FD1D7F"/>
    <w:rsid w:val="23160F0A"/>
    <w:rsid w:val="23343541"/>
    <w:rsid w:val="234F2B4E"/>
    <w:rsid w:val="2351552C"/>
    <w:rsid w:val="23671171"/>
    <w:rsid w:val="23764029"/>
    <w:rsid w:val="237C14F3"/>
    <w:rsid w:val="237E60EE"/>
    <w:rsid w:val="23B831B5"/>
    <w:rsid w:val="23C97F66"/>
    <w:rsid w:val="23DD7AAD"/>
    <w:rsid w:val="23E30D64"/>
    <w:rsid w:val="23E571B8"/>
    <w:rsid w:val="241F609F"/>
    <w:rsid w:val="24305A06"/>
    <w:rsid w:val="243C34B7"/>
    <w:rsid w:val="245602B3"/>
    <w:rsid w:val="24576491"/>
    <w:rsid w:val="248D45F8"/>
    <w:rsid w:val="24E472FB"/>
    <w:rsid w:val="24F932FA"/>
    <w:rsid w:val="251F4E9A"/>
    <w:rsid w:val="25252B94"/>
    <w:rsid w:val="25350FEA"/>
    <w:rsid w:val="25551249"/>
    <w:rsid w:val="255E2557"/>
    <w:rsid w:val="256571F6"/>
    <w:rsid w:val="2580614A"/>
    <w:rsid w:val="25BC3E3C"/>
    <w:rsid w:val="25C120E5"/>
    <w:rsid w:val="25DA35C6"/>
    <w:rsid w:val="25F3733F"/>
    <w:rsid w:val="260F1B7F"/>
    <w:rsid w:val="261F1F24"/>
    <w:rsid w:val="26285DA9"/>
    <w:rsid w:val="265B0083"/>
    <w:rsid w:val="266573A3"/>
    <w:rsid w:val="2680193C"/>
    <w:rsid w:val="26847C9C"/>
    <w:rsid w:val="26912884"/>
    <w:rsid w:val="26B74A03"/>
    <w:rsid w:val="26C37006"/>
    <w:rsid w:val="26C41AC7"/>
    <w:rsid w:val="273B00D3"/>
    <w:rsid w:val="276E46FA"/>
    <w:rsid w:val="279019FD"/>
    <w:rsid w:val="27E40C0B"/>
    <w:rsid w:val="27F84A8D"/>
    <w:rsid w:val="280261E6"/>
    <w:rsid w:val="280D2A75"/>
    <w:rsid w:val="281206CF"/>
    <w:rsid w:val="281E0DFE"/>
    <w:rsid w:val="281F698D"/>
    <w:rsid w:val="28A87D9E"/>
    <w:rsid w:val="28AC0259"/>
    <w:rsid w:val="28B96B98"/>
    <w:rsid w:val="28D6351B"/>
    <w:rsid w:val="29012919"/>
    <w:rsid w:val="2919547A"/>
    <w:rsid w:val="294A681B"/>
    <w:rsid w:val="297632FB"/>
    <w:rsid w:val="29860166"/>
    <w:rsid w:val="2989581D"/>
    <w:rsid w:val="29AE7242"/>
    <w:rsid w:val="29B1237D"/>
    <w:rsid w:val="29B623A9"/>
    <w:rsid w:val="29C177E7"/>
    <w:rsid w:val="29D55195"/>
    <w:rsid w:val="2A1C51C4"/>
    <w:rsid w:val="2A374E5F"/>
    <w:rsid w:val="2A3A2334"/>
    <w:rsid w:val="2A3E519C"/>
    <w:rsid w:val="2ADE4C88"/>
    <w:rsid w:val="2B0F281A"/>
    <w:rsid w:val="2B58669A"/>
    <w:rsid w:val="2BB36F8C"/>
    <w:rsid w:val="2BC60DD6"/>
    <w:rsid w:val="2BCF0DAE"/>
    <w:rsid w:val="2C5D58DE"/>
    <w:rsid w:val="2CBB53A9"/>
    <w:rsid w:val="2CCA35AC"/>
    <w:rsid w:val="2CCD0653"/>
    <w:rsid w:val="2CEB2024"/>
    <w:rsid w:val="2CFD01DC"/>
    <w:rsid w:val="2CFE1822"/>
    <w:rsid w:val="2D2A71C5"/>
    <w:rsid w:val="2D40645A"/>
    <w:rsid w:val="2D903660"/>
    <w:rsid w:val="2D9D2698"/>
    <w:rsid w:val="2D9F08E8"/>
    <w:rsid w:val="2DB137C0"/>
    <w:rsid w:val="2DC43DAA"/>
    <w:rsid w:val="2E083F52"/>
    <w:rsid w:val="2E4539F1"/>
    <w:rsid w:val="2E6172FD"/>
    <w:rsid w:val="2ECD39AB"/>
    <w:rsid w:val="2F2A2A00"/>
    <w:rsid w:val="2F324864"/>
    <w:rsid w:val="2FA363AF"/>
    <w:rsid w:val="2FD04A90"/>
    <w:rsid w:val="2FF464CB"/>
    <w:rsid w:val="2FFA0706"/>
    <w:rsid w:val="3006429E"/>
    <w:rsid w:val="30190941"/>
    <w:rsid w:val="30564C58"/>
    <w:rsid w:val="307E45AF"/>
    <w:rsid w:val="30B23CBB"/>
    <w:rsid w:val="30B95F03"/>
    <w:rsid w:val="30C123F4"/>
    <w:rsid w:val="30E252CB"/>
    <w:rsid w:val="311537F0"/>
    <w:rsid w:val="315E511F"/>
    <w:rsid w:val="31A411C1"/>
    <w:rsid w:val="31D72FDD"/>
    <w:rsid w:val="32345C56"/>
    <w:rsid w:val="32430FFB"/>
    <w:rsid w:val="32594A1C"/>
    <w:rsid w:val="325C01CA"/>
    <w:rsid w:val="32AA2C68"/>
    <w:rsid w:val="32BA74D7"/>
    <w:rsid w:val="32BF2D77"/>
    <w:rsid w:val="32C33444"/>
    <w:rsid w:val="32DE42B5"/>
    <w:rsid w:val="32E91C2E"/>
    <w:rsid w:val="32FA2ADC"/>
    <w:rsid w:val="3311742A"/>
    <w:rsid w:val="332B4928"/>
    <w:rsid w:val="333E2A3A"/>
    <w:rsid w:val="337A67C4"/>
    <w:rsid w:val="33952442"/>
    <w:rsid w:val="339E1946"/>
    <w:rsid w:val="33C365B1"/>
    <w:rsid w:val="34106D78"/>
    <w:rsid w:val="34264450"/>
    <w:rsid w:val="34BB7465"/>
    <w:rsid w:val="34BD33CA"/>
    <w:rsid w:val="34FA2DD0"/>
    <w:rsid w:val="34FA6512"/>
    <w:rsid w:val="35013D1A"/>
    <w:rsid w:val="353E6D69"/>
    <w:rsid w:val="35E3593F"/>
    <w:rsid w:val="3601233C"/>
    <w:rsid w:val="3631364D"/>
    <w:rsid w:val="365076A2"/>
    <w:rsid w:val="36766B00"/>
    <w:rsid w:val="3680281D"/>
    <w:rsid w:val="36FB77BF"/>
    <w:rsid w:val="37310A95"/>
    <w:rsid w:val="373C0A31"/>
    <w:rsid w:val="374D7CE6"/>
    <w:rsid w:val="37604F97"/>
    <w:rsid w:val="37E13551"/>
    <w:rsid w:val="37F13C67"/>
    <w:rsid w:val="38825EDD"/>
    <w:rsid w:val="388A5A75"/>
    <w:rsid w:val="389860C2"/>
    <w:rsid w:val="38CC22FD"/>
    <w:rsid w:val="391060DB"/>
    <w:rsid w:val="393D67A4"/>
    <w:rsid w:val="395103C4"/>
    <w:rsid w:val="39555F5D"/>
    <w:rsid w:val="398C0246"/>
    <w:rsid w:val="39900E35"/>
    <w:rsid w:val="39924349"/>
    <w:rsid w:val="39931BF0"/>
    <w:rsid w:val="39B5422E"/>
    <w:rsid w:val="39C35D66"/>
    <w:rsid w:val="39D36DFE"/>
    <w:rsid w:val="39DB2C9C"/>
    <w:rsid w:val="39F34754"/>
    <w:rsid w:val="3A0444A1"/>
    <w:rsid w:val="3A1953FA"/>
    <w:rsid w:val="3A2004D4"/>
    <w:rsid w:val="3A35773B"/>
    <w:rsid w:val="3A577D90"/>
    <w:rsid w:val="3A6F6E52"/>
    <w:rsid w:val="3A745EA8"/>
    <w:rsid w:val="3A78116B"/>
    <w:rsid w:val="3A912544"/>
    <w:rsid w:val="3AB3160D"/>
    <w:rsid w:val="3AFD0E13"/>
    <w:rsid w:val="3B00554C"/>
    <w:rsid w:val="3B1D3498"/>
    <w:rsid w:val="3B3A14C4"/>
    <w:rsid w:val="3B613E13"/>
    <w:rsid w:val="3BE133BA"/>
    <w:rsid w:val="3BE365B0"/>
    <w:rsid w:val="3BF572CA"/>
    <w:rsid w:val="3C124DB5"/>
    <w:rsid w:val="3C255CA3"/>
    <w:rsid w:val="3C434923"/>
    <w:rsid w:val="3C4D3C09"/>
    <w:rsid w:val="3C83331D"/>
    <w:rsid w:val="3C8E1036"/>
    <w:rsid w:val="3CE33431"/>
    <w:rsid w:val="3D4178D9"/>
    <w:rsid w:val="3D5C3BD3"/>
    <w:rsid w:val="3DA644DD"/>
    <w:rsid w:val="3DDC2808"/>
    <w:rsid w:val="3DE25B6C"/>
    <w:rsid w:val="3E304685"/>
    <w:rsid w:val="3E4928E7"/>
    <w:rsid w:val="3E5558A1"/>
    <w:rsid w:val="3E5C7046"/>
    <w:rsid w:val="3E791EDD"/>
    <w:rsid w:val="3EBC29A0"/>
    <w:rsid w:val="3EDC2C68"/>
    <w:rsid w:val="3EF329B8"/>
    <w:rsid w:val="3EFB0039"/>
    <w:rsid w:val="3F333668"/>
    <w:rsid w:val="3F407C1D"/>
    <w:rsid w:val="3F5020C5"/>
    <w:rsid w:val="3F7B127C"/>
    <w:rsid w:val="3F903981"/>
    <w:rsid w:val="3FB201F7"/>
    <w:rsid w:val="400813D7"/>
    <w:rsid w:val="401E6BBC"/>
    <w:rsid w:val="404C4190"/>
    <w:rsid w:val="40577B5E"/>
    <w:rsid w:val="40593009"/>
    <w:rsid w:val="40666787"/>
    <w:rsid w:val="4068346A"/>
    <w:rsid w:val="409C2352"/>
    <w:rsid w:val="40A74EA9"/>
    <w:rsid w:val="40B27F8E"/>
    <w:rsid w:val="411D04C9"/>
    <w:rsid w:val="41252EDB"/>
    <w:rsid w:val="41997065"/>
    <w:rsid w:val="41DA54D8"/>
    <w:rsid w:val="42187ABE"/>
    <w:rsid w:val="423F533B"/>
    <w:rsid w:val="42557335"/>
    <w:rsid w:val="42733236"/>
    <w:rsid w:val="42B328E8"/>
    <w:rsid w:val="42B3678D"/>
    <w:rsid w:val="43016360"/>
    <w:rsid w:val="4306756B"/>
    <w:rsid w:val="430C3884"/>
    <w:rsid w:val="430D71E7"/>
    <w:rsid w:val="431A62F2"/>
    <w:rsid w:val="4326260B"/>
    <w:rsid w:val="436F3F4A"/>
    <w:rsid w:val="43766F04"/>
    <w:rsid w:val="437A49A7"/>
    <w:rsid w:val="43F059B8"/>
    <w:rsid w:val="4428542C"/>
    <w:rsid w:val="443A0ABE"/>
    <w:rsid w:val="44491DDB"/>
    <w:rsid w:val="44564767"/>
    <w:rsid w:val="449D3C38"/>
    <w:rsid w:val="44C266C7"/>
    <w:rsid w:val="44F07163"/>
    <w:rsid w:val="4541586E"/>
    <w:rsid w:val="457572C5"/>
    <w:rsid w:val="457A517B"/>
    <w:rsid w:val="45E3145C"/>
    <w:rsid w:val="460948B3"/>
    <w:rsid w:val="46127266"/>
    <w:rsid w:val="46130284"/>
    <w:rsid w:val="464F5C99"/>
    <w:rsid w:val="465A557C"/>
    <w:rsid w:val="467E5DF6"/>
    <w:rsid w:val="47234423"/>
    <w:rsid w:val="47534531"/>
    <w:rsid w:val="477119A2"/>
    <w:rsid w:val="47804CDD"/>
    <w:rsid w:val="478E39F4"/>
    <w:rsid w:val="47AB480C"/>
    <w:rsid w:val="47E96E38"/>
    <w:rsid w:val="47FF3A45"/>
    <w:rsid w:val="4865044A"/>
    <w:rsid w:val="48802209"/>
    <w:rsid w:val="48A24A37"/>
    <w:rsid w:val="48A92484"/>
    <w:rsid w:val="48B461F2"/>
    <w:rsid w:val="48D2485B"/>
    <w:rsid w:val="48E22EC4"/>
    <w:rsid w:val="497847C6"/>
    <w:rsid w:val="4981685D"/>
    <w:rsid w:val="49936A2A"/>
    <w:rsid w:val="49DE3F2D"/>
    <w:rsid w:val="4A0816FC"/>
    <w:rsid w:val="4A0C7DAE"/>
    <w:rsid w:val="4A5B2C67"/>
    <w:rsid w:val="4A623B42"/>
    <w:rsid w:val="4AAE0862"/>
    <w:rsid w:val="4AC773A4"/>
    <w:rsid w:val="4AD65745"/>
    <w:rsid w:val="4AED19D5"/>
    <w:rsid w:val="4AFD2172"/>
    <w:rsid w:val="4AFD5F43"/>
    <w:rsid w:val="4B634D56"/>
    <w:rsid w:val="4B8C3390"/>
    <w:rsid w:val="4BB334FE"/>
    <w:rsid w:val="4BB43A07"/>
    <w:rsid w:val="4BC45822"/>
    <w:rsid w:val="4BD64843"/>
    <w:rsid w:val="4BF00C1F"/>
    <w:rsid w:val="4C123FE2"/>
    <w:rsid w:val="4C5E1BC5"/>
    <w:rsid w:val="4C727900"/>
    <w:rsid w:val="4CA243DB"/>
    <w:rsid w:val="4CAD68B1"/>
    <w:rsid w:val="4CD963AA"/>
    <w:rsid w:val="4CEA49C9"/>
    <w:rsid w:val="4D405120"/>
    <w:rsid w:val="4D6428F6"/>
    <w:rsid w:val="4D7F1DFA"/>
    <w:rsid w:val="4DA83D67"/>
    <w:rsid w:val="4DC15EC7"/>
    <w:rsid w:val="4DC40350"/>
    <w:rsid w:val="4DFB70BD"/>
    <w:rsid w:val="4E1A53F8"/>
    <w:rsid w:val="4E266712"/>
    <w:rsid w:val="4E4C59F5"/>
    <w:rsid w:val="4E6406A9"/>
    <w:rsid w:val="4E6F57D6"/>
    <w:rsid w:val="4EAB5678"/>
    <w:rsid w:val="4EB16CE6"/>
    <w:rsid w:val="4EF87033"/>
    <w:rsid w:val="4F071341"/>
    <w:rsid w:val="4F0E056F"/>
    <w:rsid w:val="4F1669A2"/>
    <w:rsid w:val="4F2A088F"/>
    <w:rsid w:val="4F6442C7"/>
    <w:rsid w:val="4FA317AE"/>
    <w:rsid w:val="4FE92D0D"/>
    <w:rsid w:val="50002C37"/>
    <w:rsid w:val="50086534"/>
    <w:rsid w:val="500E09CC"/>
    <w:rsid w:val="50335BF4"/>
    <w:rsid w:val="504A4925"/>
    <w:rsid w:val="509114EF"/>
    <w:rsid w:val="50A01F5C"/>
    <w:rsid w:val="50BB5E8D"/>
    <w:rsid w:val="50C53B40"/>
    <w:rsid w:val="50C87D1D"/>
    <w:rsid w:val="50E730CD"/>
    <w:rsid w:val="51015293"/>
    <w:rsid w:val="51080031"/>
    <w:rsid w:val="511E5298"/>
    <w:rsid w:val="51281690"/>
    <w:rsid w:val="51493584"/>
    <w:rsid w:val="51615771"/>
    <w:rsid w:val="517816C3"/>
    <w:rsid w:val="518A40F8"/>
    <w:rsid w:val="51B573C7"/>
    <w:rsid w:val="523B6ECB"/>
    <w:rsid w:val="5261453C"/>
    <w:rsid w:val="52692A75"/>
    <w:rsid w:val="52797A03"/>
    <w:rsid w:val="52870AA3"/>
    <w:rsid w:val="52E54236"/>
    <w:rsid w:val="52E65063"/>
    <w:rsid w:val="52EA2152"/>
    <w:rsid w:val="532C4175"/>
    <w:rsid w:val="536C7641"/>
    <w:rsid w:val="53760A39"/>
    <w:rsid w:val="539B435F"/>
    <w:rsid w:val="53B3176D"/>
    <w:rsid w:val="53E70BC4"/>
    <w:rsid w:val="54065D20"/>
    <w:rsid w:val="5425066B"/>
    <w:rsid w:val="54732DE4"/>
    <w:rsid w:val="547A56CB"/>
    <w:rsid w:val="54AA7576"/>
    <w:rsid w:val="54BB6E08"/>
    <w:rsid w:val="54BC7AE0"/>
    <w:rsid w:val="54BD3841"/>
    <w:rsid w:val="54CD67D6"/>
    <w:rsid w:val="54FC1593"/>
    <w:rsid w:val="550B6D63"/>
    <w:rsid w:val="55265F50"/>
    <w:rsid w:val="553E0D9B"/>
    <w:rsid w:val="55821CB6"/>
    <w:rsid w:val="55997BA4"/>
    <w:rsid w:val="55BB1F3A"/>
    <w:rsid w:val="55E738C7"/>
    <w:rsid w:val="56013FE1"/>
    <w:rsid w:val="56024BA5"/>
    <w:rsid w:val="560B48D5"/>
    <w:rsid w:val="56352128"/>
    <w:rsid w:val="563952E7"/>
    <w:rsid w:val="5647080A"/>
    <w:rsid w:val="56484751"/>
    <w:rsid w:val="56493019"/>
    <w:rsid w:val="5658473D"/>
    <w:rsid w:val="56684E1A"/>
    <w:rsid w:val="568529A7"/>
    <w:rsid w:val="56A32702"/>
    <w:rsid w:val="56B31493"/>
    <w:rsid w:val="56B4335B"/>
    <w:rsid w:val="56EB1EE7"/>
    <w:rsid w:val="570338F8"/>
    <w:rsid w:val="572B20DD"/>
    <w:rsid w:val="573F2166"/>
    <w:rsid w:val="575C74D9"/>
    <w:rsid w:val="576F6EA9"/>
    <w:rsid w:val="577C7A73"/>
    <w:rsid w:val="5790617B"/>
    <w:rsid w:val="57AF3FD0"/>
    <w:rsid w:val="57D95B99"/>
    <w:rsid w:val="57F7F6EF"/>
    <w:rsid w:val="58165FFD"/>
    <w:rsid w:val="585F2C97"/>
    <w:rsid w:val="58726076"/>
    <w:rsid w:val="587B1BB1"/>
    <w:rsid w:val="58887262"/>
    <w:rsid w:val="58B740E7"/>
    <w:rsid w:val="58B90548"/>
    <w:rsid w:val="58E03BDA"/>
    <w:rsid w:val="58FF0479"/>
    <w:rsid w:val="59282B75"/>
    <w:rsid w:val="59297638"/>
    <w:rsid w:val="594276D3"/>
    <w:rsid w:val="59495742"/>
    <w:rsid w:val="599B3347"/>
    <w:rsid w:val="59B64D9E"/>
    <w:rsid w:val="59C21D96"/>
    <w:rsid w:val="59D53557"/>
    <w:rsid w:val="59DE2B42"/>
    <w:rsid w:val="5A1470EE"/>
    <w:rsid w:val="5A1C6B5A"/>
    <w:rsid w:val="5A4474F4"/>
    <w:rsid w:val="5A5E43F6"/>
    <w:rsid w:val="5A67360B"/>
    <w:rsid w:val="5A70378E"/>
    <w:rsid w:val="5A821C06"/>
    <w:rsid w:val="5ABC2009"/>
    <w:rsid w:val="5AFC7829"/>
    <w:rsid w:val="5B0E3CEF"/>
    <w:rsid w:val="5B213738"/>
    <w:rsid w:val="5B60613A"/>
    <w:rsid w:val="5BA61335"/>
    <w:rsid w:val="5BD106A4"/>
    <w:rsid w:val="5BE97B7F"/>
    <w:rsid w:val="5C413E16"/>
    <w:rsid w:val="5C6C7A18"/>
    <w:rsid w:val="5C9F73BB"/>
    <w:rsid w:val="5CA36B27"/>
    <w:rsid w:val="5CC94D24"/>
    <w:rsid w:val="5D277AD7"/>
    <w:rsid w:val="5D353301"/>
    <w:rsid w:val="5D520673"/>
    <w:rsid w:val="5D8734FD"/>
    <w:rsid w:val="5D920F94"/>
    <w:rsid w:val="5DB449D7"/>
    <w:rsid w:val="5DBD2D97"/>
    <w:rsid w:val="5DD67B6B"/>
    <w:rsid w:val="5E0363A9"/>
    <w:rsid w:val="5E0C4B27"/>
    <w:rsid w:val="5E1E164D"/>
    <w:rsid w:val="5E58112D"/>
    <w:rsid w:val="5E5F5205"/>
    <w:rsid w:val="5E727D08"/>
    <w:rsid w:val="5E876331"/>
    <w:rsid w:val="5ECC7F1D"/>
    <w:rsid w:val="5EF24516"/>
    <w:rsid w:val="5EFE4C88"/>
    <w:rsid w:val="5F293F60"/>
    <w:rsid w:val="5F2C4BBF"/>
    <w:rsid w:val="5F392E12"/>
    <w:rsid w:val="5F837DAC"/>
    <w:rsid w:val="5F95707B"/>
    <w:rsid w:val="5FA362B2"/>
    <w:rsid w:val="60196D73"/>
    <w:rsid w:val="60551BD4"/>
    <w:rsid w:val="60665C1E"/>
    <w:rsid w:val="61982EDE"/>
    <w:rsid w:val="61A3792A"/>
    <w:rsid w:val="61B431F8"/>
    <w:rsid w:val="62000CFE"/>
    <w:rsid w:val="62036030"/>
    <w:rsid w:val="620626F6"/>
    <w:rsid w:val="620A1069"/>
    <w:rsid w:val="623B0EA4"/>
    <w:rsid w:val="62832BCA"/>
    <w:rsid w:val="62932E66"/>
    <w:rsid w:val="629E17E6"/>
    <w:rsid w:val="62B54FB4"/>
    <w:rsid w:val="62D459B6"/>
    <w:rsid w:val="62FA5A0C"/>
    <w:rsid w:val="635B0D9A"/>
    <w:rsid w:val="638A761D"/>
    <w:rsid w:val="638E67B4"/>
    <w:rsid w:val="63A6132E"/>
    <w:rsid w:val="640732AC"/>
    <w:rsid w:val="641811EF"/>
    <w:rsid w:val="641C3894"/>
    <w:rsid w:val="643303F8"/>
    <w:rsid w:val="64441204"/>
    <w:rsid w:val="645338D9"/>
    <w:rsid w:val="646707BD"/>
    <w:rsid w:val="64E44D1B"/>
    <w:rsid w:val="65077AE2"/>
    <w:rsid w:val="650C0547"/>
    <w:rsid w:val="65392699"/>
    <w:rsid w:val="654D2AEF"/>
    <w:rsid w:val="655A2308"/>
    <w:rsid w:val="65766A16"/>
    <w:rsid w:val="65893AD8"/>
    <w:rsid w:val="658F144F"/>
    <w:rsid w:val="65E3691C"/>
    <w:rsid w:val="65E5010A"/>
    <w:rsid w:val="65E81727"/>
    <w:rsid w:val="65F242EE"/>
    <w:rsid w:val="65F46E22"/>
    <w:rsid w:val="65FF0B7A"/>
    <w:rsid w:val="663E5750"/>
    <w:rsid w:val="6651348F"/>
    <w:rsid w:val="666E6FEC"/>
    <w:rsid w:val="66BF3AE2"/>
    <w:rsid w:val="66C161FB"/>
    <w:rsid w:val="66C57AFD"/>
    <w:rsid w:val="66CF56D2"/>
    <w:rsid w:val="66D73473"/>
    <w:rsid w:val="66E8218C"/>
    <w:rsid w:val="66F42721"/>
    <w:rsid w:val="671B3FB8"/>
    <w:rsid w:val="672B5331"/>
    <w:rsid w:val="67345D03"/>
    <w:rsid w:val="676324FD"/>
    <w:rsid w:val="67764912"/>
    <w:rsid w:val="67790BFF"/>
    <w:rsid w:val="67875F8C"/>
    <w:rsid w:val="679C2B93"/>
    <w:rsid w:val="67BA4F21"/>
    <w:rsid w:val="67D55C76"/>
    <w:rsid w:val="67D75828"/>
    <w:rsid w:val="67E004CF"/>
    <w:rsid w:val="67FC7FCB"/>
    <w:rsid w:val="680C2EEA"/>
    <w:rsid w:val="680E3321"/>
    <w:rsid w:val="68187E17"/>
    <w:rsid w:val="684D39CE"/>
    <w:rsid w:val="6852376A"/>
    <w:rsid w:val="68735867"/>
    <w:rsid w:val="68B02080"/>
    <w:rsid w:val="68CE307F"/>
    <w:rsid w:val="69345580"/>
    <w:rsid w:val="695259EE"/>
    <w:rsid w:val="69701468"/>
    <w:rsid w:val="69B35ACA"/>
    <w:rsid w:val="69D9500B"/>
    <w:rsid w:val="69F92B5A"/>
    <w:rsid w:val="6A004A8F"/>
    <w:rsid w:val="6A0A3131"/>
    <w:rsid w:val="6A3B2520"/>
    <w:rsid w:val="6A48221F"/>
    <w:rsid w:val="6A573C83"/>
    <w:rsid w:val="6A763B7E"/>
    <w:rsid w:val="6A811ACA"/>
    <w:rsid w:val="6AA62698"/>
    <w:rsid w:val="6AA76641"/>
    <w:rsid w:val="6AAF6C52"/>
    <w:rsid w:val="6ADD762D"/>
    <w:rsid w:val="6B052993"/>
    <w:rsid w:val="6B212899"/>
    <w:rsid w:val="6B2C1BF3"/>
    <w:rsid w:val="6B7C44FB"/>
    <w:rsid w:val="6BCD5A15"/>
    <w:rsid w:val="6BD6020E"/>
    <w:rsid w:val="6BD63CBC"/>
    <w:rsid w:val="6BE57D10"/>
    <w:rsid w:val="6BE95791"/>
    <w:rsid w:val="6C1F49BF"/>
    <w:rsid w:val="6C355F9C"/>
    <w:rsid w:val="6C446BC6"/>
    <w:rsid w:val="6CE0394A"/>
    <w:rsid w:val="6CEC235E"/>
    <w:rsid w:val="6D177182"/>
    <w:rsid w:val="6D1A6418"/>
    <w:rsid w:val="6D326076"/>
    <w:rsid w:val="6D506A2E"/>
    <w:rsid w:val="6D5A3487"/>
    <w:rsid w:val="6D5E2CCD"/>
    <w:rsid w:val="6D6D502F"/>
    <w:rsid w:val="6D6E60CD"/>
    <w:rsid w:val="6D8F6C94"/>
    <w:rsid w:val="6D960440"/>
    <w:rsid w:val="6DAC6487"/>
    <w:rsid w:val="6DCB5C43"/>
    <w:rsid w:val="6E195EC3"/>
    <w:rsid w:val="6E612802"/>
    <w:rsid w:val="6E741A0F"/>
    <w:rsid w:val="6E767150"/>
    <w:rsid w:val="6E790E04"/>
    <w:rsid w:val="6E850AD6"/>
    <w:rsid w:val="6E87536A"/>
    <w:rsid w:val="6EB57C00"/>
    <w:rsid w:val="6ED07FA1"/>
    <w:rsid w:val="6ED62326"/>
    <w:rsid w:val="6EF466AA"/>
    <w:rsid w:val="6F0842EA"/>
    <w:rsid w:val="6F0913B5"/>
    <w:rsid w:val="6F17262A"/>
    <w:rsid w:val="6F9B720B"/>
    <w:rsid w:val="6FAC1505"/>
    <w:rsid w:val="6FAC3D22"/>
    <w:rsid w:val="6FC67692"/>
    <w:rsid w:val="6FEC55A3"/>
    <w:rsid w:val="6FF17ED0"/>
    <w:rsid w:val="70012EE1"/>
    <w:rsid w:val="707F3FBD"/>
    <w:rsid w:val="7096180D"/>
    <w:rsid w:val="70A86C3A"/>
    <w:rsid w:val="70BC5393"/>
    <w:rsid w:val="70D2387C"/>
    <w:rsid w:val="70D87128"/>
    <w:rsid w:val="711F552E"/>
    <w:rsid w:val="716C253C"/>
    <w:rsid w:val="718A64BC"/>
    <w:rsid w:val="71CE569C"/>
    <w:rsid w:val="71E34648"/>
    <w:rsid w:val="726D4DB5"/>
    <w:rsid w:val="728F6340"/>
    <w:rsid w:val="72E44A02"/>
    <w:rsid w:val="73077939"/>
    <w:rsid w:val="732A1831"/>
    <w:rsid w:val="73483B9D"/>
    <w:rsid w:val="736A3516"/>
    <w:rsid w:val="736E5CB2"/>
    <w:rsid w:val="73702990"/>
    <w:rsid w:val="7395223B"/>
    <w:rsid w:val="73AD67AC"/>
    <w:rsid w:val="73B452D9"/>
    <w:rsid w:val="73C93E8A"/>
    <w:rsid w:val="7401158C"/>
    <w:rsid w:val="74062D66"/>
    <w:rsid w:val="740D2C6D"/>
    <w:rsid w:val="74280E7C"/>
    <w:rsid w:val="743B71FB"/>
    <w:rsid w:val="74404DBF"/>
    <w:rsid w:val="745E0E85"/>
    <w:rsid w:val="7487472F"/>
    <w:rsid w:val="74A52357"/>
    <w:rsid w:val="74A92E08"/>
    <w:rsid w:val="74ED0A6F"/>
    <w:rsid w:val="74ED7E14"/>
    <w:rsid w:val="75433805"/>
    <w:rsid w:val="754F5658"/>
    <w:rsid w:val="75643696"/>
    <w:rsid w:val="756B7C19"/>
    <w:rsid w:val="75797DCA"/>
    <w:rsid w:val="75DD52AE"/>
    <w:rsid w:val="75F86ED0"/>
    <w:rsid w:val="76935D1D"/>
    <w:rsid w:val="76A6298D"/>
    <w:rsid w:val="76A71171"/>
    <w:rsid w:val="76D6266E"/>
    <w:rsid w:val="76E76806"/>
    <w:rsid w:val="771539D0"/>
    <w:rsid w:val="773F2020"/>
    <w:rsid w:val="77460F4F"/>
    <w:rsid w:val="7749091F"/>
    <w:rsid w:val="77776737"/>
    <w:rsid w:val="779D2BAA"/>
    <w:rsid w:val="779F6414"/>
    <w:rsid w:val="77A20AB7"/>
    <w:rsid w:val="77B45668"/>
    <w:rsid w:val="77B96484"/>
    <w:rsid w:val="77E315FD"/>
    <w:rsid w:val="77FB23EE"/>
    <w:rsid w:val="77FB54EE"/>
    <w:rsid w:val="78476BC0"/>
    <w:rsid w:val="78601FC7"/>
    <w:rsid w:val="78707237"/>
    <w:rsid w:val="787D6CB8"/>
    <w:rsid w:val="788E01A2"/>
    <w:rsid w:val="78CC4A5D"/>
    <w:rsid w:val="78F34776"/>
    <w:rsid w:val="78FA3B98"/>
    <w:rsid w:val="791C60EA"/>
    <w:rsid w:val="7944563C"/>
    <w:rsid w:val="79491017"/>
    <w:rsid w:val="79A74E86"/>
    <w:rsid w:val="79D5678C"/>
    <w:rsid w:val="79E40003"/>
    <w:rsid w:val="79F6366C"/>
    <w:rsid w:val="7A2736ED"/>
    <w:rsid w:val="7A3A7D8C"/>
    <w:rsid w:val="7A516126"/>
    <w:rsid w:val="7A624EAD"/>
    <w:rsid w:val="7A6B3794"/>
    <w:rsid w:val="7AAB01EC"/>
    <w:rsid w:val="7AD6435A"/>
    <w:rsid w:val="7AD64A97"/>
    <w:rsid w:val="7ADB08A6"/>
    <w:rsid w:val="7AE879F4"/>
    <w:rsid w:val="7AEF6680"/>
    <w:rsid w:val="7AF30189"/>
    <w:rsid w:val="7B635E4B"/>
    <w:rsid w:val="7BF94118"/>
    <w:rsid w:val="7C417D55"/>
    <w:rsid w:val="7C8038A4"/>
    <w:rsid w:val="7C95557C"/>
    <w:rsid w:val="7CA47516"/>
    <w:rsid w:val="7CBF32DF"/>
    <w:rsid w:val="7CBF78A4"/>
    <w:rsid w:val="7CE80CEF"/>
    <w:rsid w:val="7D364FB1"/>
    <w:rsid w:val="7D3B79F0"/>
    <w:rsid w:val="7D605C1A"/>
    <w:rsid w:val="7D7319B3"/>
    <w:rsid w:val="7D752DCB"/>
    <w:rsid w:val="7D9D3C24"/>
    <w:rsid w:val="7DCC62E1"/>
    <w:rsid w:val="7DDF16F3"/>
    <w:rsid w:val="7DEA36B6"/>
    <w:rsid w:val="7E0F0552"/>
    <w:rsid w:val="7ECC47CC"/>
    <w:rsid w:val="7EEC18F0"/>
    <w:rsid w:val="7EFC70C2"/>
    <w:rsid w:val="7F2072AF"/>
    <w:rsid w:val="7F3638AD"/>
    <w:rsid w:val="7F4236F9"/>
    <w:rsid w:val="7F622D65"/>
    <w:rsid w:val="7FBC0AEB"/>
    <w:rsid w:val="7FE67C91"/>
    <w:rsid w:val="9B9FF8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43"/>
    <w:qFormat/>
    <w:uiPriority w:val="0"/>
    <w:pPr>
      <w:spacing w:line="360" w:lineRule="exact"/>
      <w:jc w:val="center"/>
      <w:outlineLvl w:val="0"/>
    </w:pPr>
    <w:rPr>
      <w:rFonts w:ascii="宋体"/>
      <w:b/>
      <w:kern w:val="0"/>
      <w:sz w:val="30"/>
      <w:szCs w:val="24"/>
    </w:rPr>
  </w:style>
  <w:style w:type="paragraph" w:styleId="3">
    <w:name w:val="heading 2"/>
    <w:basedOn w:val="1"/>
    <w:next w:val="1"/>
    <w:link w:val="44"/>
    <w:qFormat/>
    <w:uiPriority w:val="0"/>
    <w:pPr>
      <w:jc w:val="center"/>
      <w:outlineLvl w:val="1"/>
    </w:pPr>
    <w:rPr>
      <w:rFonts w:ascii="宋体" w:hAnsi="宋体"/>
      <w:kern w:val="0"/>
      <w:sz w:val="32"/>
      <w:szCs w:val="24"/>
    </w:rPr>
  </w:style>
  <w:style w:type="paragraph" w:styleId="4">
    <w:name w:val="heading 3"/>
    <w:basedOn w:val="1"/>
    <w:next w:val="1"/>
    <w:link w:val="45"/>
    <w:qFormat/>
    <w:uiPriority w:val="0"/>
    <w:pPr>
      <w:keepNext/>
      <w:keepLines/>
      <w:spacing w:line="413" w:lineRule="auto"/>
      <w:jc w:val="center"/>
      <w:outlineLvl w:val="2"/>
    </w:pPr>
    <w:rPr>
      <w:rFonts w:ascii="宋体" w:hAnsi="宋体"/>
      <w:b/>
      <w:bCs/>
      <w:kern w:val="0"/>
      <w:sz w:val="32"/>
      <w:szCs w:val="32"/>
    </w:rPr>
  </w:style>
  <w:style w:type="paragraph" w:styleId="5">
    <w:name w:val="heading 4"/>
    <w:basedOn w:val="1"/>
    <w:next w:val="1"/>
    <w:link w:val="46"/>
    <w:qFormat/>
    <w:uiPriority w:val="0"/>
    <w:pPr>
      <w:keepNext/>
      <w:keepLines/>
      <w:spacing w:before="280" w:after="290" w:line="376" w:lineRule="auto"/>
      <w:outlineLvl w:val="3"/>
    </w:pPr>
    <w:rPr>
      <w:rFonts w:ascii="Cambria" w:hAnsi="Cambria"/>
      <w:b/>
      <w:bCs/>
      <w:kern w:val="0"/>
      <w:sz w:val="28"/>
      <w:szCs w:val="28"/>
    </w:rPr>
  </w:style>
  <w:style w:type="character" w:default="1" w:styleId="36">
    <w:name w:val="Default Paragraph Font"/>
    <w:unhideWhenUsed/>
    <w:uiPriority w:val="1"/>
  </w:style>
  <w:style w:type="table" w:default="1" w:styleId="34">
    <w:name w:val="Normal Table"/>
    <w:unhideWhenUsed/>
    <w:qFormat/>
    <w:uiPriority w:val="99"/>
    <w:tblPr>
      <w:tblStyle w:val="34"/>
      <w:tblCellMar>
        <w:top w:w="0" w:type="dxa"/>
        <w:left w:w="108" w:type="dxa"/>
        <w:bottom w:w="0" w:type="dxa"/>
        <w:right w:w="108" w:type="dxa"/>
      </w:tblCellMar>
    </w:tblPr>
  </w:style>
  <w:style w:type="paragraph" w:styleId="6">
    <w:name w:val="toc 7"/>
    <w:basedOn w:val="1"/>
    <w:next w:val="1"/>
    <w:uiPriority w:val="39"/>
    <w:pPr>
      <w:ind w:left="2520" w:leftChars="1200"/>
    </w:pPr>
    <w:rPr>
      <w:rFonts w:ascii="Times New Roman" w:hAnsi="Times New Roman" w:eastAsia="宋体" w:cs="Times New Roman"/>
      <w:szCs w:val="24"/>
    </w:rPr>
  </w:style>
  <w:style w:type="paragraph" w:styleId="7">
    <w:name w:val="Normal Indent"/>
    <w:basedOn w:val="1"/>
    <w:qFormat/>
    <w:uiPriority w:val="0"/>
    <w:pPr>
      <w:ind w:firstLine="420" w:firstLineChars="200"/>
    </w:pPr>
    <w:rPr>
      <w:rFonts w:ascii="Times New Roman" w:hAnsi="Times New Roman" w:eastAsia="宋体" w:cs="Times New Roman"/>
      <w:szCs w:val="24"/>
    </w:rPr>
  </w:style>
  <w:style w:type="paragraph" w:styleId="8">
    <w:name w:val="annotation text"/>
    <w:basedOn w:val="1"/>
    <w:link w:val="47"/>
    <w:qFormat/>
    <w:uiPriority w:val="0"/>
    <w:pPr>
      <w:jc w:val="left"/>
    </w:pPr>
    <w:rPr>
      <w:kern w:val="0"/>
      <w:sz w:val="20"/>
      <w:szCs w:val="20"/>
    </w:rPr>
  </w:style>
  <w:style w:type="paragraph" w:styleId="9">
    <w:name w:val="Body Text"/>
    <w:basedOn w:val="1"/>
    <w:link w:val="48"/>
    <w:unhideWhenUsed/>
    <w:qFormat/>
    <w:uiPriority w:val="0"/>
    <w:pPr>
      <w:spacing w:after="120"/>
    </w:pPr>
  </w:style>
  <w:style w:type="paragraph" w:styleId="10">
    <w:name w:val="Body Text Indent"/>
    <w:basedOn w:val="1"/>
    <w:next w:val="1"/>
    <w:link w:val="49"/>
    <w:qFormat/>
    <w:uiPriority w:val="0"/>
    <w:pPr>
      <w:spacing w:after="120"/>
      <w:ind w:left="420" w:leftChars="200"/>
    </w:pPr>
    <w:rPr>
      <w:kern w:val="0"/>
      <w:sz w:val="20"/>
      <w:szCs w:val="24"/>
    </w:rPr>
  </w:style>
  <w:style w:type="paragraph" w:styleId="11">
    <w:name w:val="toc 5"/>
    <w:basedOn w:val="1"/>
    <w:next w:val="1"/>
    <w:qFormat/>
    <w:uiPriority w:val="39"/>
    <w:pPr>
      <w:ind w:left="1680" w:leftChars="800"/>
    </w:pPr>
    <w:rPr>
      <w:rFonts w:ascii="Times New Roman" w:hAnsi="Times New Roman" w:eastAsia="宋体" w:cs="Times New Roman"/>
      <w:szCs w:val="24"/>
    </w:rPr>
  </w:style>
  <w:style w:type="paragraph" w:styleId="12">
    <w:name w:val="toc 3"/>
    <w:basedOn w:val="1"/>
    <w:next w:val="1"/>
    <w:qFormat/>
    <w:uiPriority w:val="39"/>
    <w:pPr>
      <w:tabs>
        <w:tab w:val="right" w:leader="dot" w:pos="8280"/>
      </w:tabs>
    </w:pPr>
    <w:rPr>
      <w:rFonts w:ascii="Times New Roman" w:hAnsi="Times New Roman" w:eastAsia="宋体" w:cs="Times New Roman"/>
      <w:szCs w:val="24"/>
    </w:rPr>
  </w:style>
  <w:style w:type="paragraph" w:styleId="13">
    <w:name w:val="Plain Text"/>
    <w:basedOn w:val="1"/>
    <w:link w:val="50"/>
    <w:qFormat/>
    <w:uiPriority w:val="0"/>
    <w:rPr>
      <w:rFonts w:ascii="宋体" w:hAnsi="Courier New"/>
      <w:kern w:val="0"/>
      <w:sz w:val="20"/>
      <w:szCs w:val="24"/>
    </w:rPr>
  </w:style>
  <w:style w:type="paragraph" w:styleId="14">
    <w:name w:val="toc 8"/>
    <w:basedOn w:val="1"/>
    <w:next w:val="1"/>
    <w:qFormat/>
    <w:uiPriority w:val="39"/>
    <w:pPr>
      <w:ind w:left="2940" w:leftChars="1400"/>
    </w:pPr>
    <w:rPr>
      <w:rFonts w:ascii="Times New Roman" w:hAnsi="Times New Roman" w:eastAsia="宋体" w:cs="Times New Roman"/>
      <w:szCs w:val="24"/>
    </w:rPr>
  </w:style>
  <w:style w:type="paragraph" w:styleId="15">
    <w:name w:val="Date"/>
    <w:basedOn w:val="1"/>
    <w:next w:val="1"/>
    <w:link w:val="51"/>
    <w:qFormat/>
    <w:uiPriority w:val="0"/>
    <w:rPr>
      <w:rFonts w:eastAsia="黑体"/>
      <w:kern w:val="0"/>
      <w:sz w:val="24"/>
      <w:szCs w:val="20"/>
    </w:rPr>
  </w:style>
  <w:style w:type="paragraph" w:styleId="16">
    <w:name w:val="Body Text Indent 2"/>
    <w:basedOn w:val="1"/>
    <w:link w:val="52"/>
    <w:qFormat/>
    <w:uiPriority w:val="0"/>
    <w:pPr>
      <w:spacing w:line="280" w:lineRule="exact"/>
      <w:ind w:firstLine="360"/>
    </w:pPr>
    <w:rPr>
      <w:color w:val="FF0000"/>
      <w:kern w:val="0"/>
      <w:sz w:val="18"/>
      <w:szCs w:val="24"/>
    </w:rPr>
  </w:style>
  <w:style w:type="paragraph" w:styleId="17">
    <w:name w:val="Balloon Text"/>
    <w:basedOn w:val="1"/>
    <w:link w:val="53"/>
    <w:qFormat/>
    <w:uiPriority w:val="0"/>
    <w:rPr>
      <w:kern w:val="0"/>
      <w:sz w:val="18"/>
      <w:szCs w:val="18"/>
    </w:rPr>
  </w:style>
  <w:style w:type="paragraph" w:styleId="18">
    <w:name w:val="footer"/>
    <w:basedOn w:val="1"/>
    <w:link w:val="54"/>
    <w:qFormat/>
    <w:uiPriority w:val="99"/>
    <w:pPr>
      <w:tabs>
        <w:tab w:val="center" w:pos="4153"/>
        <w:tab w:val="right" w:pos="8306"/>
      </w:tabs>
      <w:snapToGrid w:val="0"/>
      <w:jc w:val="left"/>
    </w:pPr>
    <w:rPr>
      <w:kern w:val="0"/>
      <w:sz w:val="18"/>
      <w:szCs w:val="18"/>
    </w:rPr>
  </w:style>
  <w:style w:type="paragraph" w:styleId="19">
    <w:name w:val="header"/>
    <w:basedOn w:val="1"/>
    <w:link w:val="55"/>
    <w:qFormat/>
    <w:uiPriority w:val="0"/>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qFormat/>
    <w:uiPriority w:val="39"/>
    <w:pPr>
      <w:tabs>
        <w:tab w:val="right" w:leader="dot" w:pos="8280"/>
      </w:tabs>
    </w:pPr>
    <w:rPr>
      <w:rFonts w:ascii="Times New Roman" w:hAnsi="Times New Roman" w:eastAsia="宋体" w:cs="Times New Roman"/>
      <w:szCs w:val="24"/>
    </w:rPr>
  </w:style>
  <w:style w:type="paragraph" w:styleId="21">
    <w:name w:val="toc 4"/>
    <w:basedOn w:val="1"/>
    <w:next w:val="1"/>
    <w:qFormat/>
    <w:uiPriority w:val="39"/>
    <w:pPr>
      <w:ind w:left="1260" w:leftChars="600"/>
    </w:pPr>
    <w:rPr>
      <w:rFonts w:ascii="Times New Roman" w:hAnsi="Times New Roman" w:eastAsia="宋体" w:cs="Times New Roman"/>
      <w:szCs w:val="24"/>
    </w:rPr>
  </w:style>
  <w:style w:type="paragraph" w:styleId="22">
    <w:name w:val="List"/>
    <w:basedOn w:val="1"/>
    <w:qFormat/>
    <w:uiPriority w:val="0"/>
    <w:pPr>
      <w:ind w:left="420" w:hanging="420"/>
    </w:pPr>
    <w:rPr>
      <w:rFonts w:hint="eastAsia" w:ascii="Times New Roman" w:hAnsi="Times New Roman" w:eastAsia="楷体_GB2312" w:cs="Times New Roman"/>
      <w:sz w:val="24"/>
      <w:szCs w:val="24"/>
    </w:rPr>
  </w:style>
  <w:style w:type="paragraph" w:styleId="23">
    <w:name w:val="footnote text"/>
    <w:basedOn w:val="1"/>
    <w:link w:val="56"/>
    <w:qFormat/>
    <w:uiPriority w:val="0"/>
    <w:pPr>
      <w:autoSpaceDE w:val="0"/>
      <w:autoSpaceDN w:val="0"/>
      <w:adjustRightInd w:val="0"/>
      <w:jc w:val="left"/>
      <w:textAlignment w:val="baseline"/>
    </w:pPr>
    <w:rPr>
      <w:rFonts w:ascii="宋体"/>
      <w:kern w:val="0"/>
      <w:sz w:val="18"/>
      <w:szCs w:val="20"/>
    </w:rPr>
  </w:style>
  <w:style w:type="paragraph" w:styleId="24">
    <w:name w:val="toc 6"/>
    <w:basedOn w:val="1"/>
    <w:next w:val="1"/>
    <w:qFormat/>
    <w:uiPriority w:val="39"/>
    <w:pPr>
      <w:ind w:left="2100" w:leftChars="1000"/>
    </w:pPr>
    <w:rPr>
      <w:rFonts w:ascii="Times New Roman" w:hAnsi="Times New Roman" w:eastAsia="宋体" w:cs="Times New Roman"/>
      <w:szCs w:val="24"/>
    </w:rPr>
  </w:style>
  <w:style w:type="paragraph" w:styleId="25">
    <w:name w:val="Body Text Indent 3"/>
    <w:basedOn w:val="1"/>
    <w:link w:val="57"/>
    <w:uiPriority w:val="0"/>
    <w:pPr>
      <w:spacing w:line="260" w:lineRule="exact"/>
      <w:ind w:firstLine="360"/>
    </w:pPr>
    <w:rPr>
      <w:kern w:val="0"/>
      <w:sz w:val="18"/>
      <w:szCs w:val="24"/>
    </w:rPr>
  </w:style>
  <w:style w:type="paragraph" w:styleId="26">
    <w:name w:val="toc 2"/>
    <w:basedOn w:val="1"/>
    <w:next w:val="1"/>
    <w:qFormat/>
    <w:uiPriority w:val="39"/>
    <w:pPr>
      <w:tabs>
        <w:tab w:val="right" w:leader="dot" w:pos="8280"/>
      </w:tabs>
      <w:ind w:left="420" w:leftChars="200"/>
    </w:pPr>
    <w:rPr>
      <w:rFonts w:ascii="Times New Roman" w:hAnsi="Times New Roman" w:eastAsia="宋体" w:cs="Times New Roman"/>
      <w:szCs w:val="24"/>
    </w:rPr>
  </w:style>
  <w:style w:type="paragraph" w:styleId="27">
    <w:name w:val="toc 9"/>
    <w:basedOn w:val="1"/>
    <w:next w:val="1"/>
    <w:qFormat/>
    <w:uiPriority w:val="39"/>
    <w:pPr>
      <w:ind w:left="3360" w:leftChars="1600"/>
    </w:pPr>
    <w:rPr>
      <w:rFonts w:ascii="Times New Roman" w:hAnsi="Times New Roman" w:eastAsia="宋体" w:cs="Times New Roman"/>
      <w:szCs w:val="24"/>
    </w:rPr>
  </w:style>
  <w:style w:type="paragraph" w:styleId="28">
    <w:name w:val="Body Text 2"/>
    <w:basedOn w:val="1"/>
    <w:link w:val="58"/>
    <w:qFormat/>
    <w:uiPriority w:val="0"/>
    <w:pPr>
      <w:tabs>
        <w:tab w:val="left" w:pos="13860"/>
      </w:tabs>
      <w:spacing w:line="500" w:lineRule="exact"/>
    </w:pPr>
    <w:rPr>
      <w:rFonts w:eastAsia="华文中宋"/>
      <w:kern w:val="0"/>
      <w:sz w:val="28"/>
      <w:szCs w:val="24"/>
    </w:rPr>
  </w:style>
  <w:style w:type="paragraph" w:styleId="29">
    <w:name w:val="HTML Preformatted"/>
    <w:basedOn w:val="1"/>
    <w:link w:val="59"/>
    <w:qFormat/>
    <w:uiPriority w:val="0"/>
    <w:rPr>
      <w:rFonts w:ascii="Courier New" w:hAnsi="Courier New"/>
      <w:kern w:val="0"/>
      <w:sz w:val="20"/>
      <w:szCs w:val="20"/>
    </w:rPr>
  </w:style>
  <w:style w:type="paragraph" w:styleId="3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1">
    <w:name w:val="annotation subject"/>
    <w:basedOn w:val="8"/>
    <w:next w:val="8"/>
    <w:link w:val="60"/>
    <w:qFormat/>
    <w:uiPriority w:val="0"/>
    <w:rPr>
      <w:b/>
      <w:bCs/>
      <w:szCs w:val="24"/>
    </w:rPr>
  </w:style>
  <w:style w:type="paragraph" w:styleId="32">
    <w:name w:val="Body Text First Indent"/>
    <w:basedOn w:val="9"/>
    <w:link w:val="61"/>
    <w:qFormat/>
    <w:uiPriority w:val="0"/>
    <w:pPr>
      <w:ind w:firstLine="420"/>
    </w:pPr>
    <w:rPr>
      <w:rFonts w:eastAsia="楷体_GB2312"/>
      <w:kern w:val="0"/>
      <w:sz w:val="24"/>
      <w:szCs w:val="24"/>
    </w:rPr>
  </w:style>
  <w:style w:type="paragraph" w:styleId="33">
    <w:name w:val="Body Text First Indent 2"/>
    <w:basedOn w:val="10"/>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table" w:styleId="35">
    <w:name w:val="Table Grid"/>
    <w:basedOn w:val="34"/>
    <w:qFormat/>
    <w:uiPriority w:val="59"/>
    <w:tblPr>
      <w:tblStyle w:val="3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rPr>
  </w:style>
  <w:style w:type="character" w:styleId="38">
    <w:name w:val="page number"/>
    <w:basedOn w:val="36"/>
    <w:qFormat/>
    <w:uiPriority w:val="0"/>
  </w:style>
  <w:style w:type="character" w:styleId="39">
    <w:name w:val="FollowedHyperlink"/>
    <w:qFormat/>
    <w:uiPriority w:val="0"/>
    <w:rPr>
      <w:color w:val="800080"/>
      <w:u w:val="single"/>
    </w:rPr>
  </w:style>
  <w:style w:type="character" w:styleId="40">
    <w:name w:val="Hyperlink"/>
    <w:basedOn w:val="36"/>
    <w:qFormat/>
    <w:uiPriority w:val="99"/>
    <w:rPr>
      <w:color w:val="0000FF"/>
      <w:u w:val="single"/>
    </w:rPr>
  </w:style>
  <w:style w:type="character" w:styleId="41">
    <w:name w:val="annotation reference"/>
    <w:qFormat/>
    <w:uiPriority w:val="0"/>
    <w:rPr>
      <w:sz w:val="21"/>
      <w:szCs w:val="21"/>
    </w:rPr>
  </w:style>
  <w:style w:type="character" w:styleId="42">
    <w:name w:val="footnote reference"/>
    <w:qFormat/>
    <w:uiPriority w:val="0"/>
    <w:rPr>
      <w:vertAlign w:val="superscript"/>
    </w:rPr>
  </w:style>
  <w:style w:type="character" w:customStyle="1" w:styleId="43">
    <w:name w:val="标题 1 字符"/>
    <w:link w:val="2"/>
    <w:qFormat/>
    <w:uiPriority w:val="0"/>
    <w:rPr>
      <w:rFonts w:ascii="宋体" w:hAnsi="Times New Roman" w:eastAsia="宋体" w:cs="Times New Roman"/>
      <w:b/>
      <w:sz w:val="30"/>
      <w:szCs w:val="24"/>
    </w:rPr>
  </w:style>
  <w:style w:type="character" w:customStyle="1" w:styleId="44">
    <w:name w:val="标题 2 字符"/>
    <w:basedOn w:val="36"/>
    <w:link w:val="3"/>
    <w:qFormat/>
    <w:uiPriority w:val="0"/>
    <w:rPr>
      <w:rFonts w:ascii="宋体" w:hAnsi="宋体" w:eastAsia="宋体" w:cs="Times New Roman"/>
      <w:sz w:val="32"/>
      <w:szCs w:val="24"/>
    </w:rPr>
  </w:style>
  <w:style w:type="character" w:customStyle="1" w:styleId="45">
    <w:name w:val="标题 3 字符"/>
    <w:link w:val="4"/>
    <w:qFormat/>
    <w:uiPriority w:val="0"/>
    <w:rPr>
      <w:rFonts w:ascii="宋体" w:hAnsi="宋体" w:eastAsia="宋体" w:cs="Times New Roman"/>
      <w:b/>
      <w:bCs/>
      <w:sz w:val="32"/>
      <w:szCs w:val="32"/>
    </w:rPr>
  </w:style>
  <w:style w:type="character" w:customStyle="1" w:styleId="46">
    <w:name w:val="标题 4 字符"/>
    <w:link w:val="5"/>
    <w:qFormat/>
    <w:uiPriority w:val="0"/>
    <w:rPr>
      <w:rFonts w:ascii="Cambria" w:hAnsi="Cambria" w:eastAsia="宋体" w:cs="Times New Roman"/>
      <w:b/>
      <w:bCs/>
      <w:sz w:val="28"/>
      <w:szCs w:val="28"/>
    </w:rPr>
  </w:style>
  <w:style w:type="character" w:customStyle="1" w:styleId="47">
    <w:name w:val="批注文字 字符"/>
    <w:link w:val="8"/>
    <w:qFormat/>
    <w:uiPriority w:val="0"/>
    <w:rPr>
      <w:rFonts w:ascii="Times New Roman" w:hAnsi="Times New Roman" w:eastAsia="宋体" w:cs="Times New Roman"/>
      <w:szCs w:val="20"/>
    </w:rPr>
  </w:style>
  <w:style w:type="character" w:customStyle="1" w:styleId="48">
    <w:name w:val="正文文本 字符"/>
    <w:basedOn w:val="36"/>
    <w:link w:val="9"/>
    <w:semiHidden/>
    <w:qFormat/>
    <w:uiPriority w:val="99"/>
  </w:style>
  <w:style w:type="character" w:customStyle="1" w:styleId="49">
    <w:name w:val="正文文本缩进 字符"/>
    <w:link w:val="10"/>
    <w:qFormat/>
    <w:uiPriority w:val="0"/>
    <w:rPr>
      <w:rFonts w:ascii="Times New Roman" w:hAnsi="Times New Roman" w:eastAsia="宋体" w:cs="Times New Roman"/>
      <w:szCs w:val="24"/>
    </w:rPr>
  </w:style>
  <w:style w:type="character" w:customStyle="1" w:styleId="50">
    <w:name w:val="纯文本 字符"/>
    <w:link w:val="13"/>
    <w:qFormat/>
    <w:uiPriority w:val="0"/>
    <w:rPr>
      <w:rFonts w:ascii="宋体" w:hAnsi="Courier New" w:eastAsia="宋体" w:cs="Times New Roman"/>
      <w:szCs w:val="24"/>
      <w:lang w:val="en-US" w:eastAsia="zh-CN"/>
    </w:rPr>
  </w:style>
  <w:style w:type="character" w:customStyle="1" w:styleId="51">
    <w:name w:val="日期 字符"/>
    <w:link w:val="15"/>
    <w:qFormat/>
    <w:uiPriority w:val="0"/>
    <w:rPr>
      <w:rFonts w:ascii="Times New Roman" w:hAnsi="Times New Roman" w:eastAsia="黑体" w:cs="Times New Roman"/>
      <w:sz w:val="24"/>
      <w:szCs w:val="20"/>
      <w:lang w:val="en-US" w:eastAsia="zh-CN"/>
    </w:rPr>
  </w:style>
  <w:style w:type="character" w:customStyle="1" w:styleId="52">
    <w:name w:val="正文文本缩进 2 字符"/>
    <w:link w:val="16"/>
    <w:qFormat/>
    <w:uiPriority w:val="0"/>
    <w:rPr>
      <w:rFonts w:ascii="Times New Roman" w:hAnsi="Times New Roman" w:eastAsia="宋体" w:cs="Times New Roman"/>
      <w:color w:val="FF0000"/>
      <w:sz w:val="18"/>
      <w:szCs w:val="24"/>
      <w:lang w:val="en-US" w:eastAsia="zh-CN"/>
    </w:rPr>
  </w:style>
  <w:style w:type="character" w:customStyle="1" w:styleId="53">
    <w:name w:val="批注框文本 字符"/>
    <w:link w:val="17"/>
    <w:qFormat/>
    <w:uiPriority w:val="0"/>
    <w:rPr>
      <w:rFonts w:ascii="Times New Roman" w:hAnsi="Times New Roman" w:eastAsia="宋体" w:cs="Times New Roman"/>
      <w:sz w:val="18"/>
      <w:szCs w:val="18"/>
    </w:rPr>
  </w:style>
  <w:style w:type="character" w:customStyle="1" w:styleId="54">
    <w:name w:val="页脚 字符"/>
    <w:link w:val="18"/>
    <w:qFormat/>
    <w:uiPriority w:val="99"/>
    <w:rPr>
      <w:rFonts w:ascii="Times New Roman" w:hAnsi="Times New Roman" w:eastAsia="宋体" w:cs="Times New Roman"/>
      <w:sz w:val="18"/>
      <w:szCs w:val="18"/>
    </w:rPr>
  </w:style>
  <w:style w:type="character" w:customStyle="1" w:styleId="55">
    <w:name w:val="页眉 字符"/>
    <w:link w:val="19"/>
    <w:qFormat/>
    <w:uiPriority w:val="0"/>
    <w:rPr>
      <w:rFonts w:ascii="Times New Roman" w:hAnsi="Times New Roman" w:eastAsia="宋体" w:cs="Times New Roman"/>
      <w:sz w:val="18"/>
      <w:szCs w:val="18"/>
    </w:rPr>
  </w:style>
  <w:style w:type="character" w:customStyle="1" w:styleId="56">
    <w:name w:val="脚注文本 字符"/>
    <w:link w:val="23"/>
    <w:qFormat/>
    <w:uiPriority w:val="0"/>
    <w:rPr>
      <w:rFonts w:ascii="宋体" w:hAnsi="Times New Roman" w:eastAsia="宋体" w:cs="Times New Roman"/>
      <w:kern w:val="0"/>
      <w:sz w:val="18"/>
      <w:szCs w:val="20"/>
    </w:rPr>
  </w:style>
  <w:style w:type="character" w:customStyle="1" w:styleId="57">
    <w:name w:val="正文文本缩进 3 字符"/>
    <w:link w:val="25"/>
    <w:qFormat/>
    <w:uiPriority w:val="0"/>
    <w:rPr>
      <w:rFonts w:ascii="Times New Roman" w:hAnsi="Times New Roman" w:eastAsia="宋体" w:cs="Times New Roman"/>
      <w:sz w:val="18"/>
      <w:szCs w:val="24"/>
      <w:lang w:val="en-US" w:eastAsia="zh-CN"/>
    </w:rPr>
  </w:style>
  <w:style w:type="character" w:customStyle="1" w:styleId="58">
    <w:name w:val="正文文本 2 字符"/>
    <w:link w:val="28"/>
    <w:qFormat/>
    <w:uiPriority w:val="0"/>
    <w:rPr>
      <w:rFonts w:ascii="Times New Roman" w:hAnsi="Times New Roman" w:eastAsia="华文中宋" w:cs="Times New Roman"/>
      <w:sz w:val="28"/>
      <w:szCs w:val="24"/>
    </w:rPr>
  </w:style>
  <w:style w:type="character" w:customStyle="1" w:styleId="59">
    <w:name w:val="HTML 预设格式 字符"/>
    <w:link w:val="29"/>
    <w:qFormat/>
    <w:uiPriority w:val="0"/>
    <w:rPr>
      <w:rFonts w:ascii="Courier New" w:hAnsi="Courier New" w:cs="Courier New"/>
    </w:rPr>
  </w:style>
  <w:style w:type="character" w:customStyle="1" w:styleId="60">
    <w:name w:val="批注主题 字符"/>
    <w:link w:val="31"/>
    <w:qFormat/>
    <w:uiPriority w:val="0"/>
    <w:rPr>
      <w:rFonts w:ascii="Times New Roman" w:hAnsi="Times New Roman"/>
      <w:b/>
      <w:bCs/>
      <w:szCs w:val="24"/>
    </w:rPr>
  </w:style>
  <w:style w:type="character" w:customStyle="1" w:styleId="61">
    <w:name w:val="正文首行缩进 字符"/>
    <w:link w:val="32"/>
    <w:qFormat/>
    <w:uiPriority w:val="0"/>
    <w:rPr>
      <w:rFonts w:ascii="Times New Roman" w:hAnsi="Times New Roman" w:eastAsia="楷体_GB2312" w:cs="Times New Roman"/>
      <w:sz w:val="24"/>
      <w:szCs w:val="24"/>
      <w:lang w:val="en-US" w:eastAsia="zh-CN"/>
    </w:rPr>
  </w:style>
  <w:style w:type="character" w:customStyle="1" w:styleId="62">
    <w:name w:val="文档结构图 Char"/>
    <w:link w:val="63"/>
    <w:qFormat/>
    <w:uiPriority w:val="0"/>
    <w:rPr>
      <w:rFonts w:ascii="宋体" w:hAnsi="Times New Roman" w:eastAsia="宋体" w:cs="Times New Roman"/>
      <w:sz w:val="18"/>
      <w:szCs w:val="18"/>
    </w:rPr>
  </w:style>
  <w:style w:type="paragraph" w:customStyle="1" w:styleId="63">
    <w:name w:val="文档结构图1"/>
    <w:basedOn w:val="1"/>
    <w:link w:val="62"/>
    <w:qFormat/>
    <w:uiPriority w:val="0"/>
    <w:rPr>
      <w:rFonts w:ascii="宋体"/>
      <w:kern w:val="0"/>
      <w:sz w:val="18"/>
      <w:szCs w:val="18"/>
    </w:rPr>
  </w:style>
  <w:style w:type="character" w:customStyle="1" w:styleId="64">
    <w:name w:val="正文文本 2 Char2"/>
    <w:basedOn w:val="36"/>
    <w:semiHidden/>
    <w:qFormat/>
    <w:uiPriority w:val="99"/>
  </w:style>
  <w:style w:type="character" w:customStyle="1" w:styleId="65">
    <w:name w:val="页眉 Char"/>
    <w:uiPriority w:val="99"/>
    <w:rPr>
      <w:lang w:eastAsia="zh-CN"/>
    </w:rPr>
  </w:style>
  <w:style w:type="character" w:customStyle="1" w:styleId="66">
    <w:name w:val="页眉 Char1"/>
    <w:qFormat/>
    <w:uiPriority w:val="0"/>
    <w:rPr>
      <w:rFonts w:ascii="Times New Roman" w:hAnsi="Times New Roman" w:eastAsia="宋体" w:cs="Times New Roman"/>
      <w:sz w:val="18"/>
      <w:szCs w:val="18"/>
    </w:rPr>
  </w:style>
  <w:style w:type="character" w:customStyle="1" w:styleId="67">
    <w:name w:val="批注框文本 Char2"/>
    <w:semiHidden/>
    <w:qFormat/>
    <w:uiPriority w:val="99"/>
    <w:rPr>
      <w:sz w:val="18"/>
      <w:szCs w:val="18"/>
    </w:rPr>
  </w:style>
  <w:style w:type="character" w:customStyle="1" w:styleId="68">
    <w:name w:val="正文文本 2 Char"/>
    <w:link w:val="69"/>
    <w:qFormat/>
    <w:uiPriority w:val="0"/>
    <w:rPr>
      <w:rFonts w:ascii="Times New Roman" w:hAnsi="Times New Roman" w:eastAsia="华文中宋" w:cs="Times New Roman"/>
      <w:sz w:val="28"/>
      <w:szCs w:val="24"/>
    </w:rPr>
  </w:style>
  <w:style w:type="paragraph" w:customStyle="1" w:styleId="69">
    <w:name w:val="正文文本 21"/>
    <w:basedOn w:val="1"/>
    <w:link w:val="68"/>
    <w:qFormat/>
    <w:uiPriority w:val="0"/>
    <w:pPr>
      <w:tabs>
        <w:tab w:val="left" w:pos="13860"/>
      </w:tabs>
      <w:spacing w:line="500" w:lineRule="exact"/>
    </w:pPr>
    <w:rPr>
      <w:rFonts w:eastAsia="华文中宋"/>
      <w:kern w:val="0"/>
      <w:sz w:val="28"/>
      <w:szCs w:val="24"/>
    </w:rPr>
  </w:style>
  <w:style w:type="character" w:customStyle="1" w:styleId="70">
    <w:name w:val="正文文本缩进 2 Char2"/>
    <w:basedOn w:val="36"/>
    <w:semiHidden/>
    <w:qFormat/>
    <w:uiPriority w:val="99"/>
  </w:style>
  <w:style w:type="character" w:customStyle="1" w:styleId="71">
    <w:name w:val="页码1"/>
    <w:basedOn w:val="36"/>
    <w:qFormat/>
    <w:uiPriority w:val="0"/>
  </w:style>
  <w:style w:type="character" w:customStyle="1" w:styleId="72">
    <w:name w:val="正文首行缩进 Char"/>
    <w:link w:val="73"/>
    <w:qFormat/>
    <w:uiPriority w:val="0"/>
    <w:rPr>
      <w:rFonts w:ascii="Times New Roman" w:hAnsi="Times New Roman" w:eastAsia="楷体_GB2312" w:cs="Times New Roman"/>
      <w:sz w:val="24"/>
      <w:szCs w:val="20"/>
    </w:rPr>
  </w:style>
  <w:style w:type="paragraph" w:customStyle="1" w:styleId="73">
    <w:name w:val="正文首行缩进1"/>
    <w:basedOn w:val="9"/>
    <w:link w:val="72"/>
    <w:qFormat/>
    <w:uiPriority w:val="0"/>
    <w:pPr>
      <w:ind w:firstLine="420"/>
    </w:pPr>
    <w:rPr>
      <w:rFonts w:eastAsia="楷体_GB2312"/>
      <w:kern w:val="0"/>
      <w:sz w:val="24"/>
      <w:szCs w:val="20"/>
    </w:rPr>
  </w:style>
  <w:style w:type="character" w:customStyle="1" w:styleId="74">
    <w:name w:val="脚注文本 Char2"/>
    <w:semiHidden/>
    <w:qFormat/>
    <w:uiPriority w:val="99"/>
    <w:rPr>
      <w:sz w:val="18"/>
      <w:szCs w:val="18"/>
    </w:rPr>
  </w:style>
  <w:style w:type="character" w:customStyle="1" w:styleId="75">
    <w:name w:val="content1"/>
    <w:qFormat/>
    <w:uiPriority w:val="0"/>
    <w:rPr>
      <w:spacing w:val="240"/>
      <w:sz w:val="21"/>
      <w:szCs w:val="21"/>
    </w:rPr>
  </w:style>
  <w:style w:type="character" w:customStyle="1" w:styleId="76">
    <w:name w:val="正文文本 Char"/>
    <w:qFormat/>
    <w:uiPriority w:val="0"/>
    <w:rPr>
      <w:rFonts w:ascii="Times New Roman" w:hAnsi="Times New Roman" w:eastAsia="宋体" w:cs="Times New Roman"/>
      <w:szCs w:val="24"/>
    </w:rPr>
  </w:style>
  <w:style w:type="character" w:customStyle="1" w:styleId="77">
    <w:name w:val="纯文本 Char2"/>
    <w:semiHidden/>
    <w:qFormat/>
    <w:uiPriority w:val="99"/>
    <w:rPr>
      <w:rFonts w:ascii="宋体" w:hAnsi="Courier New" w:eastAsia="宋体" w:cs="Courier New"/>
      <w:szCs w:val="21"/>
    </w:rPr>
  </w:style>
  <w:style w:type="character" w:customStyle="1" w:styleId="78">
    <w:name w:val="访问过的超链接1"/>
    <w:qFormat/>
    <w:uiPriority w:val="0"/>
    <w:rPr>
      <w:rFonts w:hint="default" w:ascii="Times New Roman"/>
      <w:color w:val="800080"/>
      <w:u w:val="single"/>
    </w:rPr>
  </w:style>
  <w:style w:type="character" w:customStyle="1" w:styleId="79">
    <w:name w:val="批注框文本 Char1"/>
    <w:qFormat/>
    <w:uiPriority w:val="0"/>
    <w:rPr>
      <w:rFonts w:ascii="Times New Roman" w:hAnsi="Times New Roman" w:eastAsia="宋体" w:cs="Times New Roman"/>
      <w:sz w:val="18"/>
      <w:szCs w:val="18"/>
    </w:rPr>
  </w:style>
  <w:style w:type="character" w:customStyle="1" w:styleId="80">
    <w:name w:val="正文文本缩进 Char"/>
    <w:link w:val="81"/>
    <w:qFormat/>
    <w:uiPriority w:val="0"/>
    <w:rPr>
      <w:rFonts w:ascii="Times New Roman" w:hAnsi="Times New Roman" w:eastAsia="宋体" w:cs="Times New Roman"/>
      <w:szCs w:val="24"/>
    </w:rPr>
  </w:style>
  <w:style w:type="paragraph" w:customStyle="1" w:styleId="81">
    <w:name w:val="正文文本缩进1"/>
    <w:basedOn w:val="1"/>
    <w:link w:val="80"/>
    <w:qFormat/>
    <w:uiPriority w:val="0"/>
    <w:pPr>
      <w:spacing w:after="120"/>
      <w:ind w:left="420" w:leftChars="200"/>
    </w:pPr>
    <w:rPr>
      <w:kern w:val="0"/>
      <w:sz w:val="20"/>
      <w:szCs w:val="24"/>
    </w:rPr>
  </w:style>
  <w:style w:type="character" w:customStyle="1" w:styleId="82">
    <w:name w:val="正文文本缩进 3 Char"/>
    <w:link w:val="83"/>
    <w:qFormat/>
    <w:uiPriority w:val="0"/>
    <w:rPr>
      <w:rFonts w:ascii="Times New Roman" w:hAnsi="Times New Roman" w:eastAsia="宋体" w:cs="Times New Roman"/>
      <w:sz w:val="18"/>
      <w:szCs w:val="24"/>
    </w:rPr>
  </w:style>
  <w:style w:type="paragraph" w:customStyle="1" w:styleId="83">
    <w:name w:val="正文文本缩进 31"/>
    <w:basedOn w:val="1"/>
    <w:link w:val="82"/>
    <w:qFormat/>
    <w:uiPriority w:val="0"/>
    <w:pPr>
      <w:spacing w:line="260" w:lineRule="exact"/>
      <w:ind w:firstLine="360"/>
    </w:pPr>
    <w:rPr>
      <w:kern w:val="0"/>
      <w:sz w:val="18"/>
      <w:szCs w:val="24"/>
    </w:rPr>
  </w:style>
  <w:style w:type="character" w:customStyle="1" w:styleId="84">
    <w:name w:val="正文文本 Char1"/>
    <w:qFormat/>
    <w:uiPriority w:val="0"/>
    <w:rPr>
      <w:rFonts w:ascii="Times New Roman"/>
      <w:sz w:val="24"/>
    </w:rPr>
  </w:style>
  <w:style w:type="character" w:customStyle="1" w:styleId="85">
    <w:name w:val="页眉 Char2"/>
    <w:semiHidden/>
    <w:qFormat/>
    <w:uiPriority w:val="99"/>
    <w:rPr>
      <w:sz w:val="18"/>
      <w:szCs w:val="18"/>
    </w:rPr>
  </w:style>
  <w:style w:type="character" w:customStyle="1" w:styleId="86">
    <w:name w:val="正文文本 Char2"/>
    <w:qFormat/>
    <w:uiPriority w:val="0"/>
    <w:rPr>
      <w:rFonts w:ascii="Times New Roman" w:hAnsi="Times New Roman" w:eastAsia="宋体" w:cs="Times New Roman"/>
      <w:szCs w:val="24"/>
    </w:rPr>
  </w:style>
  <w:style w:type="character" w:customStyle="1" w:styleId="87">
    <w:name w:val="Char Char4"/>
    <w:uiPriority w:val="0"/>
    <w:rPr>
      <w:rFonts w:eastAsia="仿宋_GB2312"/>
      <w:bCs/>
      <w:kern w:val="44"/>
      <w:sz w:val="18"/>
      <w:szCs w:val="18"/>
      <w:lang w:val="en-US" w:eastAsia="zh-CN" w:bidi="ar-SA"/>
    </w:rPr>
  </w:style>
  <w:style w:type="character" w:customStyle="1" w:styleId="88">
    <w:name w:val="批注主题 Char1"/>
    <w:semiHidden/>
    <w:qFormat/>
    <w:uiPriority w:val="99"/>
    <w:rPr>
      <w:rFonts w:ascii="Times New Roman" w:hAnsi="Times New Roman" w:eastAsia="宋体" w:cs="Times New Roman"/>
      <w:b/>
      <w:bCs/>
      <w:szCs w:val="20"/>
    </w:rPr>
  </w:style>
  <w:style w:type="character" w:customStyle="1" w:styleId="89">
    <w:name w:val="日期 Char2"/>
    <w:basedOn w:val="36"/>
    <w:semiHidden/>
    <w:qFormat/>
    <w:uiPriority w:val="99"/>
  </w:style>
  <w:style w:type="character" w:customStyle="1" w:styleId="90">
    <w:name w:val="页脚 Char1"/>
    <w:qFormat/>
    <w:uiPriority w:val="0"/>
    <w:rPr>
      <w:rFonts w:ascii="Times New Roman" w:hAnsi="Times New Roman" w:eastAsia="宋体" w:cs="Times New Roman"/>
      <w:sz w:val="18"/>
      <w:szCs w:val="18"/>
    </w:rPr>
  </w:style>
  <w:style w:type="character" w:customStyle="1" w:styleId="91">
    <w:name w:val="批注文字 Char1"/>
    <w:qFormat/>
    <w:uiPriority w:val="0"/>
    <w:rPr>
      <w:rFonts w:ascii="Times New Roman" w:hAnsi="Times New Roman" w:eastAsia="宋体" w:cs="Times New Roman"/>
      <w:szCs w:val="24"/>
    </w:rPr>
  </w:style>
  <w:style w:type="character" w:customStyle="1" w:styleId="92">
    <w:name w:val="正文文本缩进 3 Char2"/>
    <w:semiHidden/>
    <w:qFormat/>
    <w:uiPriority w:val="99"/>
    <w:rPr>
      <w:sz w:val="16"/>
      <w:szCs w:val="16"/>
    </w:rPr>
  </w:style>
  <w:style w:type="character" w:customStyle="1" w:styleId="93">
    <w:name w:val="页码2"/>
    <w:basedOn w:val="36"/>
    <w:qFormat/>
    <w:uiPriority w:val="0"/>
  </w:style>
  <w:style w:type="character" w:customStyle="1" w:styleId="94">
    <w:name w:val="apple-converted-space"/>
    <w:qFormat/>
    <w:uiPriority w:val="0"/>
  </w:style>
  <w:style w:type="character" w:customStyle="1" w:styleId="95">
    <w:name w:val="页脚 Char"/>
    <w:uiPriority w:val="99"/>
    <w:rPr>
      <w:lang w:eastAsia="zh-CN"/>
    </w:rPr>
  </w:style>
  <w:style w:type="character" w:customStyle="1" w:styleId="96">
    <w:name w:val="正文文本缩进 2 Char"/>
    <w:link w:val="97"/>
    <w:qFormat/>
    <w:uiPriority w:val="0"/>
    <w:rPr>
      <w:rFonts w:ascii="Times New Roman" w:hAnsi="Times New Roman" w:eastAsia="宋体" w:cs="Times New Roman"/>
      <w:szCs w:val="24"/>
    </w:rPr>
  </w:style>
  <w:style w:type="paragraph" w:customStyle="1" w:styleId="97">
    <w:name w:val="正文文本缩进 21"/>
    <w:basedOn w:val="1"/>
    <w:link w:val="96"/>
    <w:qFormat/>
    <w:uiPriority w:val="0"/>
    <w:pPr>
      <w:spacing w:after="120" w:line="480" w:lineRule="auto"/>
      <w:ind w:left="420" w:leftChars="200"/>
    </w:pPr>
    <w:rPr>
      <w:kern w:val="0"/>
      <w:sz w:val="20"/>
      <w:szCs w:val="24"/>
    </w:rPr>
  </w:style>
  <w:style w:type="character" w:customStyle="1" w:styleId="98">
    <w:name w:val="正文文本缩进 Char2"/>
    <w:basedOn w:val="36"/>
    <w:semiHidden/>
    <w:qFormat/>
    <w:uiPriority w:val="99"/>
  </w:style>
  <w:style w:type="character" w:customStyle="1" w:styleId="99">
    <w:name w:val="正文首行缩进 Char2"/>
    <w:basedOn w:val="48"/>
    <w:semiHidden/>
    <w:qFormat/>
    <w:uiPriority w:val="99"/>
  </w:style>
  <w:style w:type="character" w:customStyle="1" w:styleId="100">
    <w:name w:val="脚注文本 Char1"/>
    <w:qFormat/>
    <w:uiPriority w:val="0"/>
    <w:rPr>
      <w:rFonts w:ascii="Times New Roman" w:hAnsi="Times New Roman" w:eastAsia="宋体" w:cs="Times New Roman"/>
      <w:sz w:val="18"/>
      <w:szCs w:val="18"/>
    </w:rPr>
  </w:style>
  <w:style w:type="character" w:customStyle="1" w:styleId="101">
    <w:name w:val="日期 Char"/>
    <w:link w:val="102"/>
    <w:qFormat/>
    <w:uiPriority w:val="0"/>
    <w:rPr>
      <w:rFonts w:ascii="Times New Roman" w:hAnsi="Times New Roman" w:eastAsia="黑体" w:cs="Times New Roman"/>
      <w:sz w:val="24"/>
      <w:szCs w:val="20"/>
    </w:rPr>
  </w:style>
  <w:style w:type="paragraph" w:customStyle="1" w:styleId="102">
    <w:name w:val="日期1"/>
    <w:basedOn w:val="1"/>
    <w:next w:val="1"/>
    <w:link w:val="101"/>
    <w:qFormat/>
    <w:uiPriority w:val="0"/>
    <w:rPr>
      <w:rFonts w:eastAsia="黑体"/>
      <w:kern w:val="0"/>
      <w:sz w:val="24"/>
      <w:szCs w:val="20"/>
    </w:rPr>
  </w:style>
  <w:style w:type="character" w:customStyle="1" w:styleId="103">
    <w:name w:val="页脚 Char2"/>
    <w:semiHidden/>
    <w:qFormat/>
    <w:uiPriority w:val="99"/>
    <w:rPr>
      <w:sz w:val="18"/>
      <w:szCs w:val="18"/>
    </w:rPr>
  </w:style>
  <w:style w:type="character" w:customStyle="1" w:styleId="104">
    <w:name w:val="纯文本 Char"/>
    <w:link w:val="105"/>
    <w:qFormat/>
    <w:uiPriority w:val="0"/>
    <w:rPr>
      <w:rFonts w:ascii="宋体" w:hAnsi="Courier New" w:eastAsia="宋体" w:cs="Times New Roman"/>
      <w:szCs w:val="20"/>
    </w:rPr>
  </w:style>
  <w:style w:type="paragraph" w:customStyle="1" w:styleId="105">
    <w:name w:val="纯文本1"/>
    <w:basedOn w:val="1"/>
    <w:link w:val="104"/>
    <w:qFormat/>
    <w:uiPriority w:val="0"/>
    <w:rPr>
      <w:rFonts w:ascii="宋体" w:hAnsi="Courier New"/>
      <w:kern w:val="0"/>
      <w:sz w:val="20"/>
      <w:szCs w:val="20"/>
    </w:rPr>
  </w:style>
  <w:style w:type="character" w:customStyle="1" w:styleId="106">
    <w:name w:val="批注文字 Char2"/>
    <w:basedOn w:val="36"/>
    <w:semiHidden/>
    <w:qFormat/>
    <w:uiPriority w:val="99"/>
  </w:style>
  <w:style w:type="character" w:customStyle="1" w:styleId="107">
    <w:name w:val="HTML 预设格式 Char1"/>
    <w:semiHidden/>
    <w:qFormat/>
    <w:uiPriority w:val="99"/>
    <w:rPr>
      <w:rFonts w:ascii="Courier New" w:hAnsi="Courier New" w:cs="Courier New"/>
      <w:sz w:val="20"/>
      <w:szCs w:val="20"/>
    </w:rPr>
  </w:style>
  <w:style w:type="character" w:customStyle="1" w:styleId="108">
    <w:name w:val="访问过的超链接2"/>
    <w:qFormat/>
    <w:uiPriority w:val="0"/>
    <w:rPr>
      <w:rFonts w:hint="default" w:ascii="Times New Roman"/>
      <w:color w:val="800080"/>
      <w:u w:val="single"/>
    </w:rPr>
  </w:style>
  <w:style w:type="paragraph" w:customStyle="1" w:styleId="109">
    <w:name w:val="正文文本缩进 22"/>
    <w:basedOn w:val="1"/>
    <w:qFormat/>
    <w:uiPriority w:val="0"/>
    <w:pPr>
      <w:spacing w:after="120" w:line="480" w:lineRule="auto"/>
      <w:ind w:left="420" w:leftChars="200"/>
    </w:pPr>
    <w:rPr>
      <w:rFonts w:ascii="Times New Roman" w:hAnsi="Times New Roman" w:eastAsia="宋体" w:cs="Times New Roman"/>
      <w:kern w:val="0"/>
      <w:sz w:val="20"/>
      <w:szCs w:val="24"/>
    </w:rPr>
  </w:style>
  <w:style w:type="paragraph" w:customStyle="1" w:styleId="110">
    <w:name w:val="正文缩进21"/>
    <w:basedOn w:val="1"/>
    <w:qFormat/>
    <w:uiPriority w:val="0"/>
    <w:pPr>
      <w:ind w:firstLine="420" w:firstLineChars="200"/>
    </w:pPr>
    <w:rPr>
      <w:rFonts w:ascii="Times New Roman" w:hAnsi="Times New Roman" w:eastAsia="宋体" w:cs="Times New Roman"/>
      <w:szCs w:val="24"/>
    </w:rPr>
  </w:style>
  <w:style w:type="paragraph" w:customStyle="1" w:styleId="111">
    <w:name w:val="批注框文本1"/>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12">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customStyle="1" w:styleId="113">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cs="Times New Roman"/>
      <w:kern w:val="0"/>
      <w:sz w:val="18"/>
      <w:szCs w:val="18"/>
    </w:rPr>
  </w:style>
  <w:style w:type="paragraph" w:customStyle="1" w:styleId="114">
    <w:name w:val="Char2"/>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15">
    <w:name w:val="列表1"/>
    <w:basedOn w:val="1"/>
    <w:qFormat/>
    <w:uiPriority w:val="0"/>
    <w:pPr>
      <w:ind w:left="420" w:hanging="420"/>
    </w:pPr>
    <w:rPr>
      <w:rFonts w:hint="eastAsia" w:ascii="Times New Roman" w:hAnsi="Times New Roman" w:eastAsia="楷体_GB2312" w:cs="Times New Roman"/>
      <w:sz w:val="24"/>
      <w:szCs w:val="24"/>
    </w:rPr>
  </w:style>
  <w:style w:type="paragraph" w:customStyle="1" w:styleId="116">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17">
    <w:name w:val="WPSOffice手动目录 2"/>
    <w:qFormat/>
    <w:uiPriority w:val="0"/>
    <w:pPr>
      <w:ind w:leftChars="200"/>
    </w:pPr>
    <w:rPr>
      <w:lang w:val="en-US" w:eastAsia="zh-CN" w:bidi="ar-SA"/>
    </w:rPr>
  </w:style>
  <w:style w:type="paragraph" w:customStyle="1" w:styleId="118">
    <w:name w:val="p16"/>
    <w:basedOn w:val="1"/>
    <w:qFormat/>
    <w:uiPriority w:val="0"/>
    <w:pPr>
      <w:widowControl/>
      <w:spacing w:line="280" w:lineRule="atLeast"/>
      <w:ind w:firstLine="360"/>
    </w:pPr>
    <w:rPr>
      <w:rFonts w:ascii="Times New Roman" w:hAnsi="Times New Roman" w:eastAsia="宋体" w:cs="Times New Roman"/>
      <w:color w:val="000000"/>
      <w:kern w:val="0"/>
      <w:sz w:val="18"/>
      <w:szCs w:val="18"/>
    </w:rPr>
  </w:style>
  <w:style w:type="paragraph" w:customStyle="1" w:styleId="119">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0">
    <w:name w:val="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21">
    <w:name w:val="Char"/>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22">
    <w:name w:val="正文文本 22"/>
    <w:basedOn w:val="1"/>
    <w:qFormat/>
    <w:uiPriority w:val="0"/>
    <w:pPr>
      <w:tabs>
        <w:tab w:val="left" w:pos="13860"/>
      </w:tabs>
      <w:spacing w:line="500" w:lineRule="exact"/>
    </w:pPr>
    <w:rPr>
      <w:rFonts w:ascii="Times New Roman" w:hAnsi="Times New Roman" w:eastAsia="华文中宋" w:cs="Times New Roman"/>
      <w:kern w:val="0"/>
      <w:sz w:val="28"/>
      <w:szCs w:val="24"/>
    </w:rPr>
  </w:style>
  <w:style w:type="paragraph" w:customStyle="1" w:styleId="123">
    <w:name w:val="TOC 标题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4">
    <w:name w:val="TOC 标题2"/>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5">
    <w:name w:val="WPSOffice手动目录 3"/>
    <w:qFormat/>
    <w:uiPriority w:val="0"/>
    <w:pPr>
      <w:ind w:leftChars="400"/>
    </w:pPr>
    <w:rPr>
      <w:lang w:val="en-US" w:eastAsia="zh-CN" w:bidi="ar-SA"/>
    </w:rPr>
  </w:style>
  <w:style w:type="paragraph" w:customStyle="1" w:styleId="126">
    <w:name w:val="修订1"/>
    <w:qFormat/>
    <w:uiPriority w:val="99"/>
    <w:rPr>
      <w:kern w:val="2"/>
      <w:sz w:val="21"/>
      <w:szCs w:val="24"/>
      <w:lang w:val="en-US" w:eastAsia="zh-CN" w:bidi="ar-SA"/>
    </w:rPr>
  </w:style>
  <w:style w:type="paragraph" w:customStyle="1" w:styleId="127">
    <w:name w:val="正文缩进1"/>
    <w:basedOn w:val="1"/>
    <w:qFormat/>
    <w:uiPriority w:val="0"/>
    <w:pPr>
      <w:ind w:firstLine="420" w:firstLineChars="200"/>
    </w:pPr>
    <w:rPr>
      <w:rFonts w:ascii="Times New Roman" w:hAnsi="Times New Roman" w:eastAsia="宋体" w:cs="Times New Roman"/>
      <w:szCs w:val="24"/>
    </w:rPr>
  </w:style>
  <w:style w:type="paragraph" w:customStyle="1" w:styleId="128">
    <w:name w:val="p15"/>
    <w:basedOn w:val="1"/>
    <w:qFormat/>
    <w:uiPriority w:val="0"/>
    <w:pPr>
      <w:widowControl/>
      <w:spacing w:line="280" w:lineRule="atLeast"/>
      <w:ind w:firstLine="360"/>
    </w:pPr>
    <w:rPr>
      <w:rFonts w:ascii="Times New Roman" w:hAnsi="Times New Roman" w:eastAsia="宋体" w:cs="Times New Roman"/>
      <w:color w:val="FF0000"/>
      <w:kern w:val="0"/>
      <w:sz w:val="18"/>
      <w:szCs w:val="18"/>
    </w:rPr>
  </w:style>
  <w:style w:type="paragraph" w:customStyle="1" w:styleId="129">
    <w:name w:val="item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0">
    <w:name w:val="正文文本缩进2"/>
    <w:basedOn w:val="1"/>
    <w:qFormat/>
    <w:uiPriority w:val="0"/>
    <w:pPr>
      <w:spacing w:after="120"/>
      <w:ind w:left="420" w:leftChars="200"/>
    </w:pPr>
    <w:rPr>
      <w:rFonts w:ascii="Times New Roman" w:hAnsi="Times New Roman" w:eastAsia="宋体" w:cs="Times New Roman"/>
      <w:kern w:val="0"/>
      <w:sz w:val="20"/>
      <w:szCs w:val="24"/>
    </w:rPr>
  </w:style>
  <w:style w:type="paragraph" w:customStyle="1" w:styleId="131">
    <w:name w:val="批注框文本2"/>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32">
    <w:name w:val="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3">
    <w:name w:val="局发文正文"/>
    <w:basedOn w:val="1"/>
    <w:qFormat/>
    <w:uiPriority w:val="0"/>
    <w:pPr>
      <w:adjustRightInd w:val="0"/>
      <w:spacing w:line="600" w:lineRule="atLeast"/>
      <w:ind w:firstLine="200" w:firstLineChars="200"/>
    </w:pPr>
    <w:rPr>
      <w:rFonts w:hint="eastAsia" w:ascii="仿宋_GB2312" w:hAnsi="Times New Roman" w:eastAsia="仿宋_GB2312" w:cs="Times New Roman"/>
      <w:caps/>
      <w:spacing w:val="6"/>
      <w:kern w:val="0"/>
      <w:sz w:val="30"/>
      <w:szCs w:val="20"/>
    </w:rPr>
  </w:style>
  <w:style w:type="paragraph" w:customStyle="1" w:styleId="134">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5">
    <w:name w:val="WPSOffice手动目录 1"/>
    <w:qFormat/>
    <w:uiPriority w:val="0"/>
    <w:rPr>
      <w:lang w:val="en-US" w:eastAsia="zh-CN" w:bidi="ar-SA"/>
    </w:rPr>
  </w:style>
  <w:style w:type="paragraph" w:customStyle="1" w:styleId="136">
    <w:name w:val="日期2"/>
    <w:basedOn w:val="1"/>
    <w:next w:val="1"/>
    <w:qFormat/>
    <w:uiPriority w:val="0"/>
    <w:rPr>
      <w:rFonts w:ascii="Times New Roman" w:hAnsi="Times New Roman" w:eastAsia="黑体" w:cs="Times New Roman"/>
      <w:kern w:val="0"/>
      <w:sz w:val="24"/>
      <w:szCs w:val="20"/>
    </w:rPr>
  </w:style>
  <w:style w:type="paragraph" w:customStyle="1" w:styleId="137">
    <w:name w:val="Char Char Char Char Char Char Char Char Char2"/>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138">
    <w:name w:val="列表2"/>
    <w:basedOn w:val="1"/>
    <w:qFormat/>
    <w:uiPriority w:val="0"/>
    <w:pPr>
      <w:ind w:left="420" w:hanging="420"/>
    </w:pPr>
    <w:rPr>
      <w:rFonts w:hint="eastAsia" w:ascii="Times New Roman" w:hAnsi="Times New Roman" w:eastAsia="楷体_GB2312" w:cs="Times New Roman"/>
      <w:sz w:val="24"/>
      <w:szCs w:val="24"/>
    </w:rPr>
  </w:style>
  <w:style w:type="paragraph" w:customStyle="1" w:styleId="139">
    <w:name w:val="Table Paragraph"/>
    <w:basedOn w:val="1"/>
    <w:qFormat/>
    <w:uiPriority w:val="0"/>
    <w:pPr>
      <w:autoSpaceDE w:val="0"/>
      <w:autoSpaceDN w:val="0"/>
      <w:adjustRightInd w:val="0"/>
      <w:jc w:val="left"/>
    </w:pPr>
    <w:rPr>
      <w:kern w:val="0"/>
      <w:sz w:val="24"/>
    </w:rPr>
  </w:style>
  <w:style w:type="paragraph" w:customStyle="1" w:styleId="140">
    <w:name w:val="正文文本缩进 32"/>
    <w:basedOn w:val="1"/>
    <w:qFormat/>
    <w:uiPriority w:val="0"/>
    <w:pPr>
      <w:spacing w:line="260" w:lineRule="exact"/>
      <w:ind w:firstLine="360"/>
    </w:pPr>
    <w:rPr>
      <w:rFonts w:ascii="Times New Roman" w:hAnsi="Times New Roman" w:eastAsia="宋体" w:cs="Times New Roman"/>
      <w:kern w:val="0"/>
      <w:sz w:val="18"/>
      <w:szCs w:val="24"/>
    </w:rPr>
  </w:style>
  <w:style w:type="paragraph" w:customStyle="1" w:styleId="141">
    <w:name w:val="正文缩进2"/>
    <w:basedOn w:val="1"/>
    <w:qFormat/>
    <w:uiPriority w:val="0"/>
    <w:pPr>
      <w:ind w:firstLine="420" w:firstLineChars="200"/>
    </w:pPr>
    <w:rPr>
      <w:rFonts w:ascii="Times New Roman" w:hAnsi="Times New Roman" w:eastAsia="宋体" w:cs="Times New Roman"/>
      <w:szCs w:val="24"/>
    </w:rPr>
  </w:style>
  <w:style w:type="paragraph" w:customStyle="1" w:styleId="142">
    <w:name w:val="纯文本2"/>
    <w:basedOn w:val="1"/>
    <w:qFormat/>
    <w:uiPriority w:val="0"/>
    <w:rPr>
      <w:rFonts w:ascii="宋体" w:hAnsi="Courier New" w:eastAsia="宋体" w:cs="Times New Roman"/>
      <w:kern w:val="0"/>
      <w:sz w:val="20"/>
      <w:szCs w:val="20"/>
    </w:rPr>
  </w:style>
  <w:style w:type="paragraph" w:customStyle="1" w:styleId="143">
    <w:name w:val="普通(网站)2"/>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44">
    <w:name w:val="文档结构图2"/>
    <w:basedOn w:val="1"/>
    <w:qFormat/>
    <w:uiPriority w:val="0"/>
    <w:rPr>
      <w:rFonts w:ascii="宋体" w:hAnsi="Times New Roman" w:eastAsia="宋体" w:cs="Times New Roman"/>
      <w:kern w:val="0"/>
      <w:sz w:val="18"/>
      <w:szCs w:val="18"/>
    </w:rPr>
  </w:style>
  <w:style w:type="paragraph" w:customStyle="1" w:styleId="145">
    <w:name w:val="正文首行缩进2"/>
    <w:basedOn w:val="9"/>
    <w:qFormat/>
    <w:uiPriority w:val="0"/>
    <w:pPr>
      <w:ind w:firstLine="420"/>
    </w:pPr>
    <w:rPr>
      <w:rFonts w:ascii="Times New Roman" w:hAnsi="Times New Roman" w:eastAsia="楷体_GB2312" w:cs="Times New Roman"/>
      <w:kern w:val="0"/>
      <w:sz w:val="24"/>
      <w:szCs w:val="20"/>
    </w:rPr>
  </w:style>
  <w:style w:type="paragraph" w:customStyle="1" w:styleId="146">
    <w:name w:val="p0"/>
    <w:basedOn w:val="1"/>
    <w:qFormat/>
    <w:uiPriority w:val="0"/>
    <w:pPr>
      <w:widowControl/>
    </w:pPr>
    <w:rPr>
      <w:rFonts w:ascii="Times New Roman" w:hAnsi="Times New Roman" w:eastAsia="宋体" w:cs="Times New Roman"/>
      <w:kern w:val="0"/>
      <w:szCs w:val="21"/>
    </w:rPr>
  </w:style>
  <w:style w:type="paragraph" w:customStyle="1" w:styleId="147">
    <w:name w:val="TOC 标题21"/>
    <w:basedOn w:val="2"/>
    <w:next w:val="1"/>
    <w:qFormat/>
    <w:uiPriority w:val="0"/>
    <w:pPr>
      <w:keepNext/>
      <w:keepLines/>
      <w:widowControl/>
      <w:spacing w:before="480" w:line="276" w:lineRule="auto"/>
      <w:jc w:val="left"/>
      <w:outlineLvl w:val="9"/>
    </w:pPr>
    <w:rPr>
      <w:rFonts w:ascii="Cambria" w:hAnsi="Cambria" w:eastAsia="黑体"/>
      <w:bCs/>
      <w:color w:val="365F91"/>
      <w:kern w:val="0"/>
      <w:sz w:val="28"/>
      <w:szCs w:val="28"/>
    </w:rPr>
  </w:style>
  <w:style w:type="paragraph" w:customStyle="1" w:styleId="148">
    <w:name w:val="_Style 9"/>
    <w:basedOn w:val="1"/>
    <w:qFormat/>
    <w:uiPriority w:val="0"/>
    <w:pPr>
      <w:numPr>
        <w:ilvl w:val="0"/>
        <w:numId w:val="2"/>
      </w:numPr>
    </w:pPr>
    <w:rPr>
      <w:rFonts w:ascii="Times New Roman" w:hAnsi="Times New Roman" w:eastAsia="宋体" w:cs="Times New Roman"/>
      <w:szCs w:val="24"/>
    </w:rPr>
  </w:style>
  <w:style w:type="paragraph" w:customStyle="1" w:styleId="149">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44</Pages>
  <Words>23151</Words>
  <Characters>24702</Characters>
  <Lines>792</Lines>
  <Paragraphs>223</Paragraphs>
  <TotalTime>50</TotalTime>
  <ScaleCrop>false</ScaleCrop>
  <LinksUpToDate>false</LinksUpToDate>
  <CharactersWithSpaces>25229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2018-12-12T17:52:00Z</dcterms:created>
  <dc:creator>Chenglh</dc:creator>
  <cp:lastModifiedBy>xuanpc</cp:lastModifiedBy>
  <cp:lastPrinted>2024-12-23T01:45:49Z</cp:lastPrinted>
  <dcterms:modified xsi:type="dcterms:W3CDTF">2025-01-03T10:26:34Z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B4A2B07EF7E0442BB5A1E06AF9EAF197_13</vt:lpwstr>
  </property>
  <property fmtid="{D5CDD505-2E9C-101B-9397-08002B2CF9AE}" pid="4" name="KSOTemplateDocerSaveRecord">
    <vt:lpwstr>eyJoZGlkIjoiNDc0OTU1YWQ0YmIwMDQ4N2VjNTE4ODQ5MzkyNjQ0ODYifQ==</vt:lpwstr>
  </property>
</Properties>
</file>